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4F" w:rsidRDefault="003F614F" w:rsidP="003F614F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C7A1F">
        <w:rPr>
          <w:rFonts w:ascii="Arial" w:hAnsi="Arial" w:cs="Arial"/>
        </w:rPr>
        <w:t>XCELENTÍSSIMO SENHOR PRESIDENTE DO TRIBUNAL DE CONTAS DO ESTADO DE MINAS GERAIS</w:t>
      </w:r>
    </w:p>
    <w:p w:rsidR="003F614F" w:rsidRDefault="003F614F" w:rsidP="003F614F"/>
    <w:p w:rsidR="006F1061" w:rsidRDefault="006F1061" w:rsidP="003F614F">
      <w:pPr>
        <w:rPr>
          <w:rFonts w:ascii="Arial" w:hAnsi="Arial" w:cs="Arial"/>
        </w:rPr>
      </w:pPr>
    </w:p>
    <w:p w:rsidR="003D6645" w:rsidRDefault="003D6645" w:rsidP="003F614F">
      <w:pPr>
        <w:rPr>
          <w:rFonts w:ascii="Arial" w:hAnsi="Arial" w:cs="Arial"/>
        </w:rPr>
      </w:pPr>
    </w:p>
    <w:p w:rsidR="003D6645" w:rsidRDefault="003D6645" w:rsidP="003F614F">
      <w:pPr>
        <w:rPr>
          <w:rFonts w:ascii="Arial" w:hAnsi="Arial" w:cs="Arial"/>
        </w:rPr>
      </w:pPr>
    </w:p>
    <w:p w:rsidR="006F1061" w:rsidRDefault="006F1061" w:rsidP="006F1061">
      <w:pPr>
        <w:jc w:val="both"/>
        <w:rPr>
          <w:rFonts w:ascii="Arial" w:hAnsi="Arial" w:cs="Arial"/>
          <w:b/>
        </w:rPr>
      </w:pPr>
    </w:p>
    <w:p w:rsidR="00E642B0" w:rsidRPr="00E642B0" w:rsidRDefault="00E642B0" w:rsidP="006F1061">
      <w:pPr>
        <w:jc w:val="both"/>
        <w:rPr>
          <w:rFonts w:ascii="Arial" w:hAnsi="Arial" w:cs="Arial"/>
        </w:rPr>
      </w:pPr>
      <w:r w:rsidRPr="006F1061">
        <w:rPr>
          <w:rFonts w:ascii="Arial" w:hAnsi="Arial" w:cs="Arial"/>
          <w:b/>
        </w:rPr>
        <w:t>Distribuição por dependência</w:t>
      </w:r>
      <w:r w:rsidR="006F1061">
        <w:rPr>
          <w:rFonts w:ascii="Arial" w:hAnsi="Arial" w:cs="Arial"/>
        </w:rPr>
        <w:t xml:space="preserve"> (art. 117 do Regimento Interno – RI), </w:t>
      </w:r>
      <w:r w:rsidR="006F1061" w:rsidRPr="006F1061">
        <w:rPr>
          <w:rFonts w:ascii="Arial" w:hAnsi="Arial" w:cs="Arial"/>
          <w:b/>
        </w:rPr>
        <w:t>sem apensamento</w:t>
      </w:r>
      <w:r w:rsidR="006F1061">
        <w:rPr>
          <w:rFonts w:ascii="Arial" w:hAnsi="Arial" w:cs="Arial"/>
        </w:rPr>
        <w:t xml:space="preserve"> (art. 158 do RI)</w:t>
      </w:r>
      <w:r w:rsidRPr="00E642B0">
        <w:rPr>
          <w:rFonts w:ascii="Arial" w:hAnsi="Arial" w:cs="Arial"/>
        </w:rPr>
        <w:t xml:space="preserve">: </w:t>
      </w:r>
      <w:r w:rsidRPr="006F1061">
        <w:rPr>
          <w:rFonts w:ascii="Arial" w:hAnsi="Arial" w:cs="Arial"/>
          <w:b/>
        </w:rPr>
        <w:t>Denúncia nº 858.044 - Conselheiro Gilberto Diniz</w:t>
      </w:r>
    </w:p>
    <w:p w:rsidR="003F614F" w:rsidRDefault="003F614F" w:rsidP="006F1061">
      <w:pPr>
        <w:jc w:val="both"/>
      </w:pPr>
    </w:p>
    <w:p w:rsidR="003F614F" w:rsidRDefault="003F614F" w:rsidP="003F614F"/>
    <w:p w:rsidR="003F614F" w:rsidRDefault="003F614F" w:rsidP="003F614F"/>
    <w:p w:rsidR="003F614F" w:rsidRDefault="003F614F" w:rsidP="003F614F"/>
    <w:p w:rsidR="003F614F" w:rsidRDefault="003F614F" w:rsidP="003F614F"/>
    <w:p w:rsidR="003F614F" w:rsidRDefault="003F614F" w:rsidP="003F614F">
      <w:pPr>
        <w:pStyle w:val="Ttulo1"/>
        <w:rPr>
          <w:rFonts w:ascii="Arial" w:hAnsi="Arial" w:cs="Arial"/>
          <w:b w:val="0"/>
        </w:rPr>
      </w:pPr>
    </w:p>
    <w:p w:rsidR="003F614F" w:rsidRDefault="003F614F" w:rsidP="003F614F"/>
    <w:p w:rsidR="003F614F" w:rsidRPr="005C0A23" w:rsidRDefault="003F614F" w:rsidP="003F614F"/>
    <w:p w:rsidR="003F614F" w:rsidRPr="00833C36" w:rsidRDefault="003F614F" w:rsidP="003F614F">
      <w:pPr>
        <w:widowControl w:val="0"/>
        <w:spacing w:line="240" w:lineRule="atLeast"/>
        <w:jc w:val="both"/>
        <w:rPr>
          <w:rFonts w:ascii="Arial" w:hAnsi="Arial" w:cs="Arial"/>
        </w:rPr>
      </w:pPr>
    </w:p>
    <w:p w:rsidR="00116E39" w:rsidRDefault="003F614F" w:rsidP="00116E39">
      <w:pPr>
        <w:widowControl w:val="0"/>
        <w:tabs>
          <w:tab w:val="center" w:pos="1418"/>
        </w:tabs>
        <w:spacing w:before="120" w:after="120" w:line="360" w:lineRule="auto"/>
        <w:ind w:firstLine="1418"/>
        <w:jc w:val="both"/>
        <w:rPr>
          <w:rFonts w:ascii="Arial" w:hAnsi="Arial" w:cs="Arial"/>
        </w:rPr>
      </w:pPr>
      <w:r w:rsidRPr="00466A53">
        <w:rPr>
          <w:rFonts w:ascii="Arial" w:hAnsi="Arial" w:cs="Arial"/>
        </w:rPr>
        <w:t xml:space="preserve">O </w:t>
      </w:r>
      <w:r w:rsidRPr="00466A53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INISTÉRIO</w:t>
      </w:r>
      <w:r w:rsidRPr="00466A53">
        <w:rPr>
          <w:rFonts w:ascii="Arial" w:hAnsi="Arial" w:cs="Arial"/>
          <w:b/>
        </w:rPr>
        <w:t xml:space="preserve"> P</w:t>
      </w:r>
      <w:r>
        <w:rPr>
          <w:rFonts w:ascii="Arial" w:hAnsi="Arial" w:cs="Arial"/>
          <w:b/>
        </w:rPr>
        <w:t>ÚBLICO DE</w:t>
      </w:r>
      <w:r w:rsidRPr="00466A53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>ONTAS DO ESTADO DE MINAS GERAIS</w:t>
      </w:r>
      <w:r w:rsidRPr="00466A53">
        <w:rPr>
          <w:rFonts w:ascii="Arial" w:hAnsi="Arial" w:cs="Arial"/>
        </w:rPr>
        <w:t>, por meio de sua signatária, vem, respeitosamente, perante V</w:t>
      </w:r>
      <w:r>
        <w:rPr>
          <w:rFonts w:ascii="Arial" w:hAnsi="Arial" w:cs="Arial"/>
        </w:rPr>
        <w:t>.</w:t>
      </w:r>
      <w:r w:rsidRPr="00466A53">
        <w:rPr>
          <w:rFonts w:ascii="Arial" w:hAnsi="Arial" w:cs="Arial"/>
        </w:rPr>
        <w:t xml:space="preserve"> </w:t>
      </w:r>
      <w:proofErr w:type="spellStart"/>
      <w:r w:rsidRPr="00466A53">
        <w:rPr>
          <w:rFonts w:ascii="Arial" w:hAnsi="Arial" w:cs="Arial"/>
        </w:rPr>
        <w:t>Exa</w:t>
      </w:r>
      <w:proofErr w:type="spellEnd"/>
      <w:proofErr w:type="gramStart"/>
      <w:r w:rsidRPr="00466A53">
        <w:rPr>
          <w:rFonts w:ascii="Arial" w:hAnsi="Arial" w:cs="Arial"/>
        </w:rPr>
        <w:t>.,</w:t>
      </w:r>
      <w:proofErr w:type="gramEnd"/>
      <w:r w:rsidRPr="00466A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 </w:t>
      </w:r>
      <w:r w:rsidR="00D103B2">
        <w:rPr>
          <w:rFonts w:ascii="Arial" w:hAnsi="Arial" w:cs="Arial"/>
        </w:rPr>
        <w:t xml:space="preserve">fundamento </w:t>
      </w:r>
      <w:r>
        <w:rPr>
          <w:rFonts w:ascii="Arial" w:hAnsi="Arial" w:cs="Arial"/>
        </w:rPr>
        <w:t xml:space="preserve">nos artigos 32, I, e 70, §1º, II, da Lei Complementar estadual nº 102, de 2008 – Lei Orgânica do Tribunal de Contas de Minas Gerais c/c o art. 310 da Resolução nº 12, de 2008 – Regimento Interno deste Tribunal de Contas, </w:t>
      </w:r>
      <w:r w:rsidRPr="00466A53">
        <w:rPr>
          <w:rFonts w:ascii="Arial" w:hAnsi="Arial" w:cs="Arial"/>
        </w:rPr>
        <w:t xml:space="preserve">interpor a presente </w:t>
      </w:r>
      <w:r w:rsidRPr="00466A53">
        <w:rPr>
          <w:rFonts w:ascii="Arial" w:hAnsi="Arial" w:cs="Arial"/>
          <w:b/>
        </w:rPr>
        <w:t>REPRESENTAÇÃO</w:t>
      </w:r>
      <w:r w:rsidRPr="00466A53">
        <w:rPr>
          <w:rFonts w:ascii="Arial" w:hAnsi="Arial" w:cs="Arial"/>
        </w:rPr>
        <w:t xml:space="preserve">, em face </w:t>
      </w:r>
      <w:r w:rsidR="0016259F">
        <w:rPr>
          <w:rFonts w:ascii="Arial" w:hAnsi="Arial" w:cs="Arial"/>
        </w:rPr>
        <w:t>das autoridades, dos servidores públicos e das empresas elenca</w:t>
      </w:r>
      <w:r w:rsidR="00172482">
        <w:rPr>
          <w:rFonts w:ascii="Arial" w:hAnsi="Arial" w:cs="Arial"/>
        </w:rPr>
        <w:t>das no QUADRO 1, que instrui est</w:t>
      </w:r>
      <w:r w:rsidR="0016259F">
        <w:rPr>
          <w:rFonts w:ascii="Arial" w:hAnsi="Arial" w:cs="Arial"/>
        </w:rPr>
        <w:t>a peça na condição de anexo</w:t>
      </w:r>
      <w:r>
        <w:rPr>
          <w:rFonts w:ascii="Arial" w:hAnsi="Arial" w:cs="Arial"/>
        </w:rPr>
        <w:t>, pelas razões de fato e de direito que a seguir passa a expor.</w:t>
      </w:r>
    </w:p>
    <w:p w:rsidR="00116E39" w:rsidRPr="00116E39" w:rsidRDefault="00116E39" w:rsidP="00116E39">
      <w:pPr>
        <w:widowControl w:val="0"/>
        <w:tabs>
          <w:tab w:val="center" w:pos="1418"/>
        </w:tabs>
        <w:spacing w:before="120" w:after="120" w:line="360" w:lineRule="auto"/>
        <w:ind w:firstLine="1418"/>
        <w:jc w:val="both"/>
        <w:rPr>
          <w:rFonts w:ascii="Arial" w:hAnsi="Arial" w:cs="Arial"/>
        </w:rPr>
      </w:pPr>
    </w:p>
    <w:p w:rsidR="003F614F" w:rsidRDefault="003F614F" w:rsidP="003F614F">
      <w:pPr>
        <w:tabs>
          <w:tab w:val="center" w:pos="1418"/>
        </w:tabs>
        <w:rPr>
          <w:rFonts w:ascii="Arial" w:hAnsi="Arial" w:cs="Arial"/>
          <w:b/>
        </w:rPr>
      </w:pPr>
      <w:r w:rsidRPr="00F33D4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  <w:r w:rsidRPr="00F33D4D">
        <w:rPr>
          <w:rFonts w:ascii="Arial" w:hAnsi="Arial" w:cs="Arial"/>
          <w:b/>
        </w:rPr>
        <w:t xml:space="preserve"> </w:t>
      </w:r>
      <w:r w:rsidRPr="00F33D4D"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t>DOS FATOS</w:t>
      </w:r>
    </w:p>
    <w:p w:rsidR="003F614F" w:rsidRDefault="003F614F" w:rsidP="003F614F">
      <w:pPr>
        <w:tabs>
          <w:tab w:val="center" w:pos="1418"/>
        </w:tabs>
        <w:rPr>
          <w:rFonts w:ascii="Courier New" w:hAnsi="Courier New" w:cs="Courier New"/>
        </w:rPr>
      </w:pPr>
    </w:p>
    <w:p w:rsidR="001C0A1C" w:rsidRDefault="003A7023" w:rsidP="0057756E">
      <w:pPr>
        <w:numPr>
          <w:ilvl w:val="0"/>
          <w:numId w:val="6"/>
        </w:numPr>
        <w:tabs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3A7023">
        <w:rPr>
          <w:rFonts w:ascii="Arial" w:hAnsi="Arial" w:cs="Arial"/>
        </w:rPr>
        <w:t xml:space="preserve">O Ministério Público do Estado de Minas Gerais, por meio de ofício encaminhado pelo </w:t>
      </w:r>
      <w:r w:rsidR="005A5842" w:rsidRPr="003A7023">
        <w:rPr>
          <w:rFonts w:ascii="Arial" w:hAnsi="Arial" w:cs="Arial"/>
        </w:rPr>
        <w:t>Promotor</w:t>
      </w:r>
      <w:r w:rsidR="003F614F" w:rsidRPr="003A7023">
        <w:rPr>
          <w:rFonts w:ascii="Arial" w:hAnsi="Arial" w:cs="Arial"/>
        </w:rPr>
        <w:t xml:space="preserve"> de Justiça da </w:t>
      </w:r>
      <w:r w:rsidR="005A5842" w:rsidRPr="003A7023">
        <w:rPr>
          <w:rFonts w:ascii="Arial" w:hAnsi="Arial" w:cs="Arial"/>
        </w:rPr>
        <w:t>4</w:t>
      </w:r>
      <w:r w:rsidR="003F614F" w:rsidRPr="003A7023">
        <w:rPr>
          <w:rFonts w:ascii="Arial" w:hAnsi="Arial" w:cs="Arial"/>
        </w:rPr>
        <w:t xml:space="preserve">ª Promotoria de Justiça da Comarca de </w:t>
      </w:r>
      <w:r w:rsidR="005A5842" w:rsidRPr="003A7023">
        <w:rPr>
          <w:rFonts w:ascii="Arial" w:hAnsi="Arial" w:cs="Arial"/>
        </w:rPr>
        <w:t>Ouro Preto</w:t>
      </w:r>
      <w:r w:rsidR="003F614F" w:rsidRPr="003A7023">
        <w:rPr>
          <w:rFonts w:ascii="Arial" w:hAnsi="Arial" w:cs="Arial"/>
        </w:rPr>
        <w:t xml:space="preserve">, Dr. </w:t>
      </w:r>
      <w:r w:rsidR="005A5842" w:rsidRPr="003A7023">
        <w:rPr>
          <w:rFonts w:ascii="Arial" w:hAnsi="Arial" w:cs="Arial"/>
        </w:rPr>
        <w:t xml:space="preserve">Domingos </w:t>
      </w:r>
      <w:r w:rsidR="0057756E" w:rsidRPr="003A7023">
        <w:rPr>
          <w:rFonts w:ascii="Arial" w:hAnsi="Arial" w:cs="Arial"/>
        </w:rPr>
        <w:t>Ventura de Miranda Júnior</w:t>
      </w:r>
      <w:r w:rsidR="003F614F" w:rsidRPr="003A702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deu notícia a este </w:t>
      </w:r>
      <w:proofErr w:type="spellStart"/>
      <w:r w:rsidRPr="003A7023">
        <w:rPr>
          <w:rFonts w:ascii="Arial" w:hAnsi="Arial" w:cs="Arial"/>
          <w:i/>
        </w:rPr>
        <w:t>Parquet</w:t>
      </w:r>
      <w:proofErr w:type="spellEnd"/>
      <w:r>
        <w:rPr>
          <w:rFonts w:ascii="Arial" w:hAnsi="Arial" w:cs="Arial"/>
        </w:rPr>
        <w:t xml:space="preserve"> de Contas</w:t>
      </w:r>
      <w:r w:rsidR="003C7A1F">
        <w:rPr>
          <w:rFonts w:ascii="Arial" w:hAnsi="Arial" w:cs="Arial"/>
        </w:rPr>
        <w:t xml:space="preserve"> das sucessivas contratações diretas dos serviços de limpeza urbana, coleta, transporte e tratamento de resíduos pelo Município de Ouro Preto, por dispensa de licitação.</w:t>
      </w:r>
    </w:p>
    <w:p w:rsidR="003C7A1F" w:rsidRPr="003E0439" w:rsidRDefault="003C7A1F" w:rsidP="003E0439">
      <w:pPr>
        <w:numPr>
          <w:ilvl w:val="0"/>
          <w:numId w:val="6"/>
        </w:numPr>
        <w:tabs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Em face das fundadas suspeitas d</w:t>
      </w:r>
      <w:r w:rsidR="00380DBF">
        <w:rPr>
          <w:rFonts w:ascii="Arial" w:hAnsi="Arial" w:cs="Arial"/>
        </w:rPr>
        <w:t xml:space="preserve">a ocorrência de </w:t>
      </w:r>
      <w:r>
        <w:rPr>
          <w:rFonts w:ascii="Arial" w:hAnsi="Arial" w:cs="Arial"/>
        </w:rPr>
        <w:t xml:space="preserve">irregularidades, </w:t>
      </w:r>
      <w:proofErr w:type="gramStart"/>
      <w:r w:rsidR="00835C13">
        <w:rPr>
          <w:rFonts w:ascii="Arial" w:hAnsi="Arial" w:cs="Arial"/>
        </w:rPr>
        <w:t>solicit</w:t>
      </w:r>
      <w:r w:rsidR="003E0439">
        <w:rPr>
          <w:rFonts w:ascii="Arial" w:hAnsi="Arial" w:cs="Arial"/>
        </w:rPr>
        <w:t>ou,</w:t>
      </w:r>
      <w:proofErr w:type="gramEnd"/>
      <w:r w:rsidR="003E0439">
        <w:rPr>
          <w:rFonts w:ascii="Arial" w:hAnsi="Arial" w:cs="Arial"/>
        </w:rPr>
        <w:t xml:space="preserve"> com fundamento no Termo de Cooperação Técnica nº 011/2014,</w:t>
      </w:r>
      <w:r w:rsidR="00835C13" w:rsidRPr="003E0439">
        <w:rPr>
          <w:rFonts w:ascii="Arial" w:hAnsi="Arial" w:cs="Arial"/>
        </w:rPr>
        <w:t xml:space="preserve"> a</w:t>
      </w:r>
      <w:r w:rsidRPr="003E0439">
        <w:rPr>
          <w:rFonts w:ascii="Arial" w:hAnsi="Arial" w:cs="Arial"/>
        </w:rPr>
        <w:t xml:space="preserve"> atuação conjunta e a realização de inspeção, para apuração dos fatos.</w:t>
      </w:r>
    </w:p>
    <w:p w:rsidR="00CD42FB" w:rsidRDefault="00CD42FB" w:rsidP="0057756E">
      <w:pPr>
        <w:numPr>
          <w:ilvl w:val="0"/>
          <w:numId w:val="6"/>
        </w:numPr>
        <w:tabs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2029C2">
        <w:rPr>
          <w:rFonts w:ascii="Arial" w:hAnsi="Arial" w:cs="Arial"/>
        </w:rPr>
        <w:t>A</w:t>
      </w:r>
      <w:r w:rsidR="00380DBF" w:rsidRPr="002029C2">
        <w:rPr>
          <w:rFonts w:ascii="Arial" w:hAnsi="Arial" w:cs="Arial"/>
        </w:rPr>
        <w:t xml:space="preserve"> análise da documentação relativa aos procedimentos de Dispensa</w:t>
      </w:r>
      <w:r w:rsidR="007E494F">
        <w:rPr>
          <w:rFonts w:ascii="Arial" w:hAnsi="Arial" w:cs="Arial"/>
        </w:rPr>
        <w:t>, tanto a encaminhada pelo órgão ministerial quanto a requisitada da autoridade municipal,</w:t>
      </w:r>
      <w:r w:rsidR="00380DBF" w:rsidRPr="002029C2">
        <w:rPr>
          <w:rFonts w:ascii="Arial" w:hAnsi="Arial" w:cs="Arial"/>
        </w:rPr>
        <w:t xml:space="preserve"> resultou na identificação de inúmeras </w:t>
      </w:r>
      <w:r w:rsidR="002029C2">
        <w:rPr>
          <w:rFonts w:ascii="Arial" w:hAnsi="Arial" w:cs="Arial"/>
        </w:rPr>
        <w:t>ações ilegais</w:t>
      </w:r>
      <w:r w:rsidR="00380DBF" w:rsidRPr="002029C2">
        <w:rPr>
          <w:rFonts w:ascii="Arial" w:hAnsi="Arial" w:cs="Arial"/>
        </w:rPr>
        <w:t xml:space="preserve">, descritas amiúde nos </w:t>
      </w:r>
      <w:r w:rsidR="00380DBF" w:rsidRPr="00F7231F">
        <w:rPr>
          <w:rFonts w:ascii="Arial" w:hAnsi="Arial" w:cs="Arial"/>
        </w:rPr>
        <w:t>relatórios inicial e complementar</w:t>
      </w:r>
      <w:r w:rsidR="00380DBF" w:rsidRPr="002029C2">
        <w:rPr>
          <w:rFonts w:ascii="Arial" w:hAnsi="Arial" w:cs="Arial"/>
        </w:rPr>
        <w:t xml:space="preserve"> que acompanham esta Representação e cujos termos</w:t>
      </w:r>
      <w:r w:rsidR="003E0439" w:rsidRPr="002029C2">
        <w:rPr>
          <w:rFonts w:ascii="Arial" w:hAnsi="Arial" w:cs="Arial"/>
        </w:rPr>
        <w:t xml:space="preserve"> aqui</w:t>
      </w:r>
      <w:r w:rsidR="00380DBF" w:rsidRPr="002029C2">
        <w:rPr>
          <w:rFonts w:ascii="Arial" w:hAnsi="Arial" w:cs="Arial"/>
        </w:rPr>
        <w:t xml:space="preserve"> </w:t>
      </w:r>
      <w:r w:rsidR="003E0439" w:rsidRPr="002029C2">
        <w:rPr>
          <w:rFonts w:ascii="Arial" w:hAnsi="Arial" w:cs="Arial"/>
        </w:rPr>
        <w:t>invocamos integralmente, como causa de pedir.</w:t>
      </w:r>
    </w:p>
    <w:p w:rsidR="007E494F" w:rsidRDefault="007E494F" w:rsidP="000F7786">
      <w:pPr>
        <w:numPr>
          <w:ilvl w:val="0"/>
          <w:numId w:val="6"/>
        </w:numPr>
        <w:tabs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das condutas descritas nos relatórios, foram destacadas os seguintes atos administrativos praticados com grave infração às normas:</w:t>
      </w:r>
    </w:p>
    <w:p w:rsidR="007E494F" w:rsidRDefault="001F3AD9" w:rsidP="000F7786">
      <w:pPr>
        <w:pStyle w:val="PargrafodaLista"/>
        <w:numPr>
          <w:ilvl w:val="0"/>
          <w:numId w:val="9"/>
        </w:numPr>
        <w:tabs>
          <w:tab w:val="left" w:pos="1418"/>
        </w:tabs>
        <w:spacing w:after="200" w:line="360" w:lineRule="auto"/>
        <w:ind w:left="714" w:hanging="357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</w:t>
      </w:r>
      <w:r w:rsidR="007E494F">
        <w:rPr>
          <w:rFonts w:ascii="Arial" w:hAnsi="Arial" w:cs="Arial"/>
        </w:rPr>
        <w:t>ealização</w:t>
      </w:r>
      <w:proofErr w:type="gramEnd"/>
      <w:r w:rsidR="007E494F">
        <w:rPr>
          <w:rFonts w:ascii="Arial" w:hAnsi="Arial" w:cs="Arial"/>
        </w:rPr>
        <w:t xml:space="preserve"> irregular das Dispensas de Licitação em que o objeto se relaciona com a limpeza urbana e a coleta, o transporte e o tratamento de resíduos</w:t>
      </w:r>
      <w:r w:rsidR="007E494F">
        <w:rPr>
          <w:rStyle w:val="Refdenotaderodap"/>
          <w:rFonts w:ascii="Arial" w:hAnsi="Arial" w:cs="Arial"/>
        </w:rPr>
        <w:footnoteReference w:id="1"/>
      </w:r>
      <w:r w:rsidR="00412079">
        <w:rPr>
          <w:rFonts w:ascii="Arial" w:hAnsi="Arial" w:cs="Arial"/>
        </w:rPr>
        <w:t xml:space="preserve">, entre os exercícios de 2011 e 2015, em razão da </w:t>
      </w:r>
      <w:r w:rsidR="00412079" w:rsidRPr="00A41010">
        <w:rPr>
          <w:rFonts w:ascii="Arial" w:hAnsi="Arial" w:cs="Arial"/>
          <w:u w:val="single"/>
        </w:rPr>
        <w:t>ausência de edital que estabeleça critérios formais</w:t>
      </w:r>
      <w:r w:rsidR="00412079">
        <w:rPr>
          <w:rFonts w:ascii="Arial" w:hAnsi="Arial" w:cs="Arial"/>
        </w:rPr>
        <w:t xml:space="preserve"> para a contratação, a fim de verificar a capacidade da empresa interessada para a execução dos serviços, e da </w:t>
      </w:r>
      <w:r w:rsidR="00412079" w:rsidRPr="00A41010">
        <w:rPr>
          <w:rFonts w:ascii="Arial" w:hAnsi="Arial" w:cs="Arial"/>
          <w:u w:val="single"/>
        </w:rPr>
        <w:t>ausência de descrição detalhada dos serviços</w:t>
      </w:r>
      <w:r w:rsidR="00412079">
        <w:rPr>
          <w:rFonts w:ascii="Arial" w:hAnsi="Arial" w:cs="Arial"/>
        </w:rPr>
        <w:t xml:space="preserve"> a serem prestados, notadamente a medição dos serviços;</w:t>
      </w:r>
    </w:p>
    <w:p w:rsidR="00412079" w:rsidRDefault="001F3AD9" w:rsidP="000F7786">
      <w:pPr>
        <w:pStyle w:val="PargrafodaLista"/>
        <w:numPr>
          <w:ilvl w:val="0"/>
          <w:numId w:val="9"/>
        </w:numPr>
        <w:tabs>
          <w:tab w:val="left" w:pos="1418"/>
        </w:tabs>
        <w:spacing w:after="200" w:line="360" w:lineRule="auto"/>
        <w:ind w:left="714" w:hanging="357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possível</w:t>
      </w:r>
      <w:proofErr w:type="gramEnd"/>
      <w:r>
        <w:rPr>
          <w:rFonts w:ascii="Arial" w:hAnsi="Arial" w:cs="Arial"/>
        </w:rPr>
        <w:t xml:space="preserve"> </w:t>
      </w:r>
      <w:r w:rsidRPr="00A41010">
        <w:rPr>
          <w:rFonts w:ascii="Arial" w:hAnsi="Arial" w:cs="Arial"/>
          <w:u w:val="single"/>
        </w:rPr>
        <w:t>pagamento a maior</w:t>
      </w:r>
      <w:r>
        <w:rPr>
          <w:rFonts w:ascii="Arial" w:hAnsi="Arial" w:cs="Arial"/>
        </w:rPr>
        <w:t xml:space="preserve"> à empresa Construtora Império Ltda. em relação ao valor contratado na Dispensa nº 033/2013, no valor de R$ 258.651,00;</w:t>
      </w:r>
    </w:p>
    <w:p w:rsidR="001F3AD9" w:rsidRDefault="001F3AD9" w:rsidP="000F7786">
      <w:pPr>
        <w:pStyle w:val="PargrafodaLista"/>
        <w:numPr>
          <w:ilvl w:val="0"/>
          <w:numId w:val="9"/>
        </w:numPr>
        <w:tabs>
          <w:tab w:val="left" w:pos="1418"/>
        </w:tabs>
        <w:spacing w:after="200" w:line="360" w:lineRule="auto"/>
        <w:ind w:left="714" w:hanging="357"/>
        <w:contextualSpacing w:val="0"/>
        <w:jc w:val="both"/>
        <w:rPr>
          <w:rFonts w:ascii="Arial" w:hAnsi="Arial" w:cs="Arial"/>
        </w:rPr>
      </w:pPr>
      <w:proofErr w:type="gramStart"/>
      <w:r w:rsidRPr="00A41010">
        <w:rPr>
          <w:rFonts w:ascii="Arial" w:hAnsi="Arial" w:cs="Arial"/>
          <w:u w:val="single"/>
        </w:rPr>
        <w:t>superfaturamento</w:t>
      </w:r>
      <w:proofErr w:type="gramEnd"/>
      <w:r w:rsidRPr="00A41010">
        <w:rPr>
          <w:rFonts w:ascii="Arial" w:hAnsi="Arial" w:cs="Arial"/>
          <w:u w:val="single"/>
        </w:rPr>
        <w:t xml:space="preserve"> ou sobrepreço</w:t>
      </w:r>
      <w:r>
        <w:rPr>
          <w:rFonts w:ascii="Arial" w:hAnsi="Arial" w:cs="Arial"/>
        </w:rPr>
        <w:t xml:space="preserve"> dos serviços, refletindo em </w:t>
      </w:r>
      <w:r w:rsidRPr="00485BBC">
        <w:rPr>
          <w:rFonts w:ascii="Arial" w:hAnsi="Arial" w:cs="Arial"/>
          <w:u w:val="single"/>
        </w:rPr>
        <w:t>dano ao erário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nos</w:t>
      </w:r>
      <w:proofErr w:type="gramEnd"/>
      <w:r>
        <w:rPr>
          <w:rFonts w:ascii="Arial" w:hAnsi="Arial" w:cs="Arial"/>
        </w:rPr>
        <w:t xml:space="preserve"> seguintes montantes:</w:t>
      </w:r>
    </w:p>
    <w:p w:rsidR="001F3AD9" w:rsidRDefault="001F3AD9" w:rsidP="000F7786">
      <w:pPr>
        <w:pStyle w:val="PargrafodaLista"/>
        <w:tabs>
          <w:tab w:val="left" w:pos="1418"/>
        </w:tabs>
        <w:spacing w:after="200" w:line="360" w:lineRule="auto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 xml:space="preserve">1) aproximadamente R$ 517.903,80, na Dispensa nº 035/2011, em que foi contratada a empresa </w:t>
      </w:r>
      <w:proofErr w:type="spellStart"/>
      <w:r>
        <w:rPr>
          <w:rFonts w:ascii="Arial" w:hAnsi="Arial" w:cs="Arial"/>
        </w:rPr>
        <w:t>Ecosystem</w:t>
      </w:r>
      <w:proofErr w:type="spellEnd"/>
      <w:r>
        <w:rPr>
          <w:rFonts w:ascii="Arial" w:hAnsi="Arial" w:cs="Arial"/>
        </w:rPr>
        <w:t xml:space="preserve"> Serviços Urbanos Ltda.;</w:t>
      </w:r>
    </w:p>
    <w:p w:rsidR="001F3AD9" w:rsidRDefault="001F3AD9" w:rsidP="000F7786">
      <w:pPr>
        <w:pStyle w:val="PargrafodaLista"/>
        <w:tabs>
          <w:tab w:val="left" w:pos="1418"/>
        </w:tabs>
        <w:spacing w:after="200" w:line="360" w:lineRule="auto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 xml:space="preserve">2) </w:t>
      </w:r>
      <w:r w:rsidR="00ED2F85">
        <w:rPr>
          <w:rFonts w:ascii="Arial" w:hAnsi="Arial" w:cs="Arial"/>
        </w:rPr>
        <w:t xml:space="preserve">R$ 517.903,80, na Dispensa nº 048/2011, em que foi contratada a empresa </w:t>
      </w:r>
      <w:proofErr w:type="spellStart"/>
      <w:r w:rsidR="00ED2F85">
        <w:rPr>
          <w:rFonts w:ascii="Arial" w:hAnsi="Arial" w:cs="Arial"/>
        </w:rPr>
        <w:t>Ecosystem</w:t>
      </w:r>
      <w:proofErr w:type="spellEnd"/>
      <w:r w:rsidR="00ED2F85">
        <w:rPr>
          <w:rFonts w:ascii="Arial" w:hAnsi="Arial" w:cs="Arial"/>
        </w:rPr>
        <w:t xml:space="preserve"> Serviços Urbanos Ltda.;</w:t>
      </w:r>
    </w:p>
    <w:p w:rsidR="00116E39" w:rsidRPr="00116E39" w:rsidRDefault="00ED2F85" w:rsidP="00116E39">
      <w:pPr>
        <w:pStyle w:val="PargrafodaLista"/>
        <w:tabs>
          <w:tab w:val="left" w:pos="1418"/>
        </w:tabs>
        <w:spacing w:after="200" w:line="360" w:lineRule="auto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c.</w:t>
      </w:r>
      <w:proofErr w:type="gramEnd"/>
      <w:r>
        <w:rPr>
          <w:rFonts w:ascii="Arial" w:hAnsi="Arial" w:cs="Arial"/>
        </w:rPr>
        <w:t xml:space="preserve">3) R$ 62.844,00, na Dispensa nº 048/2012, em que foi contratada a empresa </w:t>
      </w:r>
      <w:proofErr w:type="spellStart"/>
      <w:r>
        <w:rPr>
          <w:rFonts w:ascii="Arial" w:hAnsi="Arial" w:cs="Arial"/>
        </w:rPr>
        <w:t>Ecosystem</w:t>
      </w:r>
      <w:proofErr w:type="spellEnd"/>
      <w:r>
        <w:rPr>
          <w:rFonts w:ascii="Arial" w:hAnsi="Arial" w:cs="Arial"/>
        </w:rPr>
        <w:t xml:space="preserve"> Serviços Urbanos Ltda.;</w:t>
      </w:r>
    </w:p>
    <w:p w:rsidR="00246083" w:rsidRDefault="00ED2F85" w:rsidP="000F7786">
      <w:pPr>
        <w:pStyle w:val="PargrafodaLista"/>
        <w:tabs>
          <w:tab w:val="left" w:pos="1418"/>
        </w:tabs>
        <w:spacing w:after="200" w:line="360" w:lineRule="auto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 xml:space="preserve">4) R$ 202.359,00, na Dispensa nº 067/2012, em que foi contratada a empresa </w:t>
      </w:r>
      <w:proofErr w:type="spellStart"/>
      <w:r>
        <w:rPr>
          <w:rFonts w:ascii="Arial" w:hAnsi="Arial" w:cs="Arial"/>
        </w:rPr>
        <w:t>Ecosystem</w:t>
      </w:r>
      <w:proofErr w:type="spellEnd"/>
      <w:r>
        <w:rPr>
          <w:rFonts w:ascii="Arial" w:hAnsi="Arial" w:cs="Arial"/>
        </w:rPr>
        <w:t xml:space="preserve"> Serviços Urbanos Ltda.;</w:t>
      </w:r>
    </w:p>
    <w:p w:rsidR="007E494F" w:rsidRDefault="00246083" w:rsidP="000F7786">
      <w:pPr>
        <w:pStyle w:val="PargrafodaLista"/>
        <w:tabs>
          <w:tab w:val="left" w:pos="1418"/>
        </w:tabs>
        <w:spacing w:after="200" w:line="360" w:lineRule="auto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 xml:space="preserve">5) R$ 47.995,78, na Dispensa nº 007/2013, em que foi contratada a empresa </w:t>
      </w:r>
      <w:r w:rsidR="00AC36B0">
        <w:rPr>
          <w:rFonts w:ascii="Arial" w:hAnsi="Arial" w:cs="Arial"/>
        </w:rPr>
        <w:t>Construtora Império</w:t>
      </w:r>
      <w:r>
        <w:rPr>
          <w:rFonts w:ascii="Arial" w:hAnsi="Arial" w:cs="Arial"/>
        </w:rPr>
        <w:t xml:space="preserve"> Ltda.;</w:t>
      </w:r>
    </w:p>
    <w:p w:rsidR="00A41010" w:rsidRDefault="0095079E" w:rsidP="000F7786">
      <w:pPr>
        <w:pStyle w:val="PargrafodaLista"/>
        <w:tabs>
          <w:tab w:val="left" w:pos="1418"/>
        </w:tabs>
        <w:spacing w:after="200" w:line="360" w:lineRule="auto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>6) R$ 2.070.000,00, na Dispensa nº 034/2013, em que foi contratada a empresa Construtora Império Ltda.;</w:t>
      </w:r>
    </w:p>
    <w:p w:rsidR="007E494F" w:rsidRDefault="00A41010" w:rsidP="000F7786">
      <w:pPr>
        <w:pStyle w:val="PargrafodaLista"/>
        <w:tabs>
          <w:tab w:val="left" w:pos="1418"/>
        </w:tabs>
        <w:spacing w:after="200" w:line="360" w:lineRule="auto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 xml:space="preserve">7) R$ 87.396,00, na Dispensa nº 035/2013, em que foi contratada a empresa </w:t>
      </w:r>
      <w:proofErr w:type="spellStart"/>
      <w:r>
        <w:rPr>
          <w:rFonts w:ascii="Arial" w:hAnsi="Arial" w:cs="Arial"/>
        </w:rPr>
        <w:t>Octo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Service</w:t>
      </w:r>
      <w:proofErr w:type="spellEnd"/>
      <w:r>
        <w:rPr>
          <w:rFonts w:ascii="Arial" w:hAnsi="Arial" w:cs="Arial"/>
        </w:rPr>
        <w:t xml:space="preserve"> Ltda.;</w:t>
      </w:r>
    </w:p>
    <w:p w:rsidR="00414AC4" w:rsidRDefault="00414AC4" w:rsidP="000F7786">
      <w:pPr>
        <w:pStyle w:val="PargrafodaLista"/>
        <w:tabs>
          <w:tab w:val="left" w:pos="1418"/>
        </w:tabs>
        <w:spacing w:after="200" w:line="360" w:lineRule="auto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>8) R$ 47.995,78, na Dispensa nº 005/2014, em que foi contratada a empresa Construtora Império Ltda.;</w:t>
      </w:r>
    </w:p>
    <w:p w:rsidR="006F316E" w:rsidRDefault="00414AC4" w:rsidP="000F7786">
      <w:pPr>
        <w:pStyle w:val="PargrafodaLista"/>
        <w:tabs>
          <w:tab w:val="left" w:pos="1418"/>
        </w:tabs>
        <w:spacing w:after="200" w:line="360" w:lineRule="auto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>9) R$ 40</w:t>
      </w:r>
      <w:r w:rsidR="000F7786">
        <w:rPr>
          <w:rFonts w:ascii="Arial" w:hAnsi="Arial" w:cs="Arial"/>
        </w:rPr>
        <w:t>.</w:t>
      </w:r>
      <w:r>
        <w:rPr>
          <w:rFonts w:ascii="Arial" w:hAnsi="Arial" w:cs="Arial"/>
        </w:rPr>
        <w:t>927,76, na Dispensa nº 031/2014, em que foi contratada a empresa Construtora Império Ltda.;</w:t>
      </w:r>
    </w:p>
    <w:p w:rsidR="006F316E" w:rsidRDefault="000F7786" w:rsidP="00191D96">
      <w:pPr>
        <w:tabs>
          <w:tab w:val="left" w:pos="1418"/>
        </w:tabs>
        <w:spacing w:after="20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191D96">
        <w:rPr>
          <w:rFonts w:ascii="Arial" w:hAnsi="Arial" w:cs="Arial"/>
        </w:rPr>
        <w:t xml:space="preserve">possível favorecimento </w:t>
      </w:r>
      <w:r w:rsidR="006D2446">
        <w:rPr>
          <w:rFonts w:ascii="Arial" w:hAnsi="Arial" w:cs="Arial"/>
        </w:rPr>
        <w:t>à</w:t>
      </w:r>
      <w:r w:rsidR="00191D96">
        <w:rPr>
          <w:rFonts w:ascii="Arial" w:hAnsi="Arial" w:cs="Arial"/>
        </w:rPr>
        <w:t xml:space="preserve"> empresa </w:t>
      </w:r>
      <w:proofErr w:type="spellStart"/>
      <w:r w:rsidR="006D2446">
        <w:rPr>
          <w:rFonts w:ascii="Arial" w:hAnsi="Arial" w:cs="Arial"/>
        </w:rPr>
        <w:t>Ecosystem</w:t>
      </w:r>
      <w:proofErr w:type="spellEnd"/>
      <w:r w:rsidR="006D2446">
        <w:rPr>
          <w:rFonts w:ascii="Arial" w:hAnsi="Arial" w:cs="Arial"/>
        </w:rPr>
        <w:t xml:space="preserve"> Serviços Urbanos Ltda. nas Dispensas nº 048/2011 e 067/2012;</w:t>
      </w:r>
    </w:p>
    <w:p w:rsidR="006D2446" w:rsidRPr="006F316E" w:rsidRDefault="006D2446" w:rsidP="00191D96">
      <w:pPr>
        <w:tabs>
          <w:tab w:val="left" w:pos="1418"/>
        </w:tabs>
        <w:spacing w:after="20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possível conluio entre o Poder Executivo do Município de Ouro Preto e </w:t>
      </w:r>
      <w:proofErr w:type="gramStart"/>
      <w:r>
        <w:rPr>
          <w:rFonts w:ascii="Arial" w:hAnsi="Arial" w:cs="Arial"/>
        </w:rPr>
        <w:t>as empresas Construtora</w:t>
      </w:r>
      <w:proofErr w:type="gramEnd"/>
      <w:r>
        <w:rPr>
          <w:rFonts w:ascii="Arial" w:hAnsi="Arial" w:cs="Arial"/>
        </w:rPr>
        <w:t xml:space="preserve"> Império Ltda. e </w:t>
      </w:r>
      <w:proofErr w:type="spellStart"/>
      <w:r>
        <w:rPr>
          <w:rFonts w:ascii="Arial" w:hAnsi="Arial" w:cs="Arial"/>
        </w:rPr>
        <w:t>Octo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Service</w:t>
      </w:r>
      <w:proofErr w:type="spellEnd"/>
      <w:r>
        <w:rPr>
          <w:rFonts w:ascii="Arial" w:hAnsi="Arial" w:cs="Arial"/>
        </w:rPr>
        <w:t xml:space="preserve"> Ltda. </w:t>
      </w:r>
      <w:r w:rsidR="00694638">
        <w:rPr>
          <w:rFonts w:ascii="Arial" w:hAnsi="Arial" w:cs="Arial"/>
        </w:rPr>
        <w:t>na Dispensa nº 035/2013.</w:t>
      </w:r>
    </w:p>
    <w:p w:rsidR="008F085D" w:rsidRDefault="006034FA" w:rsidP="000F7786">
      <w:pPr>
        <w:numPr>
          <w:ilvl w:val="0"/>
          <w:numId w:val="6"/>
        </w:numPr>
        <w:tabs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Com</w:t>
      </w:r>
      <w:r w:rsidR="002029C2">
        <w:rPr>
          <w:rFonts w:ascii="Arial" w:hAnsi="Arial" w:cs="Arial"/>
        </w:rPr>
        <w:t xml:space="preserve"> efeito, a leitura dos relatórios e dos documentos dos certames indica que, há cinco anos, a Prefeitura Municipal de Ouro Preto vem sistematicamente contratando os serviços mencionados sem licitação, sob o argumento da emergência, decorrente da suspensão, por esta Corte de Contas, das Concorrências deflagradas</w:t>
      </w:r>
      <w:r w:rsidR="008F085D">
        <w:rPr>
          <w:rStyle w:val="Refdenotaderodap"/>
          <w:rFonts w:ascii="Arial" w:hAnsi="Arial" w:cs="Arial"/>
        </w:rPr>
        <w:footnoteReference w:id="2"/>
      </w:r>
      <w:r w:rsidR="008F085D">
        <w:rPr>
          <w:rFonts w:ascii="Arial" w:hAnsi="Arial" w:cs="Arial"/>
        </w:rPr>
        <w:t>.</w:t>
      </w:r>
    </w:p>
    <w:p w:rsidR="003D094E" w:rsidRDefault="00694638" w:rsidP="000F7786">
      <w:pPr>
        <w:numPr>
          <w:ilvl w:val="0"/>
          <w:numId w:val="6"/>
        </w:numPr>
        <w:tabs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3D094E">
        <w:rPr>
          <w:rFonts w:ascii="Arial" w:hAnsi="Arial" w:cs="Arial"/>
        </w:rPr>
        <w:lastRenderedPageBreak/>
        <w:t xml:space="preserve">Embora </w:t>
      </w:r>
      <w:r w:rsidR="008F085D" w:rsidRPr="003D094E">
        <w:rPr>
          <w:rFonts w:ascii="Arial" w:hAnsi="Arial" w:cs="Arial"/>
        </w:rPr>
        <w:t>exista, em abstrato, situação</w:t>
      </w:r>
      <w:r w:rsidRPr="003D094E">
        <w:rPr>
          <w:rFonts w:ascii="Arial" w:hAnsi="Arial" w:cs="Arial"/>
        </w:rPr>
        <w:t xml:space="preserve"> fática justificadora </w:t>
      </w:r>
      <w:r w:rsidR="003D094E">
        <w:rPr>
          <w:rFonts w:ascii="Arial" w:hAnsi="Arial" w:cs="Arial"/>
        </w:rPr>
        <w:t>da dispensa de licitação</w:t>
      </w:r>
      <w:r w:rsidRPr="003D094E">
        <w:rPr>
          <w:rFonts w:ascii="Arial" w:hAnsi="Arial" w:cs="Arial"/>
        </w:rPr>
        <w:t>, nos termos do art. 24, IV, da Lei nº 8.666, de 1993, não se pode negar que a situação relatada denota que pouco esforço tem sido empreendido pel</w:t>
      </w:r>
      <w:r w:rsidR="002029C2" w:rsidRPr="003D094E">
        <w:rPr>
          <w:rFonts w:ascii="Arial" w:hAnsi="Arial" w:cs="Arial"/>
        </w:rPr>
        <w:t xml:space="preserve">o Executivo local </w:t>
      </w:r>
      <w:r w:rsidRPr="003D094E">
        <w:rPr>
          <w:rFonts w:ascii="Arial" w:hAnsi="Arial" w:cs="Arial"/>
        </w:rPr>
        <w:t>no</w:t>
      </w:r>
      <w:r w:rsidR="002029C2" w:rsidRPr="003D094E">
        <w:rPr>
          <w:rFonts w:ascii="Arial" w:hAnsi="Arial" w:cs="Arial"/>
        </w:rPr>
        <w:t xml:space="preserve"> saneamento dos apontamentos suscitados</w:t>
      </w:r>
      <w:r w:rsidRPr="003D094E">
        <w:rPr>
          <w:rFonts w:ascii="Arial" w:hAnsi="Arial" w:cs="Arial"/>
        </w:rPr>
        <w:t xml:space="preserve">, </w:t>
      </w:r>
      <w:r w:rsidR="003D094E" w:rsidRPr="003D094E">
        <w:rPr>
          <w:rFonts w:ascii="Arial" w:hAnsi="Arial" w:cs="Arial"/>
        </w:rPr>
        <w:t xml:space="preserve">fazendo perseverar </w:t>
      </w:r>
      <w:r w:rsidR="003D094E">
        <w:rPr>
          <w:rFonts w:ascii="Arial" w:hAnsi="Arial" w:cs="Arial"/>
        </w:rPr>
        <w:t>por anos a fio as contratações diretas</w:t>
      </w:r>
      <w:r w:rsidR="00F161DF">
        <w:rPr>
          <w:rFonts w:ascii="Arial" w:hAnsi="Arial" w:cs="Arial"/>
        </w:rPr>
        <w:t xml:space="preserve"> eivadas de irregularidades e</w:t>
      </w:r>
      <w:r w:rsidR="003D094E">
        <w:rPr>
          <w:rFonts w:ascii="Arial" w:hAnsi="Arial" w:cs="Arial"/>
        </w:rPr>
        <w:t xml:space="preserve"> adiando, por consequência, a submissão dos serviços à ampla concorrência e, ainda, facilitando favorecimentos indevidos.</w:t>
      </w:r>
    </w:p>
    <w:p w:rsidR="00FF74B5" w:rsidRDefault="003D094E" w:rsidP="000F7786">
      <w:pPr>
        <w:numPr>
          <w:ilvl w:val="0"/>
          <w:numId w:val="6"/>
        </w:numPr>
        <w:tabs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das graves irregularidades suscitadas</w:t>
      </w:r>
      <w:r w:rsidR="00FF74B5">
        <w:rPr>
          <w:rFonts w:ascii="Arial" w:hAnsi="Arial" w:cs="Arial"/>
        </w:rPr>
        <w:t xml:space="preserve">, com indícios de </w:t>
      </w:r>
      <w:r w:rsidR="00485BBC">
        <w:rPr>
          <w:rFonts w:ascii="Arial" w:hAnsi="Arial" w:cs="Arial"/>
        </w:rPr>
        <w:t xml:space="preserve">significativo </w:t>
      </w:r>
      <w:r w:rsidR="00FF74B5">
        <w:rPr>
          <w:rFonts w:ascii="Arial" w:hAnsi="Arial" w:cs="Arial"/>
        </w:rPr>
        <w:t>prejuízo ao erário</w:t>
      </w:r>
      <w:r>
        <w:rPr>
          <w:rFonts w:ascii="Arial" w:hAnsi="Arial" w:cs="Arial"/>
        </w:rPr>
        <w:t>, registramos que muitas outras podem estar presentes na execução dos contratos derivados dessas Dispensas</w:t>
      </w:r>
      <w:r w:rsidR="00FF74B5">
        <w:rPr>
          <w:rFonts w:ascii="Arial" w:hAnsi="Arial" w:cs="Arial"/>
        </w:rPr>
        <w:t>.</w:t>
      </w:r>
    </w:p>
    <w:p w:rsidR="003E0439" w:rsidRDefault="00FF74B5" w:rsidP="000F7786">
      <w:pPr>
        <w:numPr>
          <w:ilvl w:val="0"/>
          <w:numId w:val="6"/>
        </w:numPr>
        <w:tabs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Todavia, a apuração preliminar</w:t>
      </w:r>
      <w:r w:rsidR="003D09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fase de execução </w:t>
      </w:r>
      <w:r w:rsidR="003D094E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stou prejudicada em face do </w:t>
      </w:r>
      <w:r w:rsidR="003D094E">
        <w:rPr>
          <w:rFonts w:ascii="Arial" w:hAnsi="Arial" w:cs="Arial"/>
        </w:rPr>
        <w:t>atendimento</w:t>
      </w:r>
      <w:r>
        <w:rPr>
          <w:rFonts w:ascii="Arial" w:hAnsi="Arial" w:cs="Arial"/>
        </w:rPr>
        <w:t xml:space="preserve"> apenas parcial</w:t>
      </w:r>
      <w:r w:rsidR="003D09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pelos responsáveis pela Prefeitura Municipal de Ouro Preto, à requisição</w:t>
      </w:r>
      <w:r w:rsidR="003D09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documentos relativos aos pagamentos realizados, consoante indicado nas alíneas </w:t>
      </w:r>
      <w:r w:rsidRPr="00FF74B5">
        <w:rPr>
          <w:rFonts w:ascii="Arial" w:hAnsi="Arial" w:cs="Arial"/>
          <w:i/>
        </w:rPr>
        <w:t>f</w:t>
      </w:r>
      <w:r>
        <w:rPr>
          <w:rFonts w:ascii="Arial" w:hAnsi="Arial" w:cs="Arial"/>
        </w:rPr>
        <w:t xml:space="preserve">, </w:t>
      </w:r>
      <w:r w:rsidRPr="00FF74B5">
        <w:rPr>
          <w:rFonts w:ascii="Arial" w:hAnsi="Arial" w:cs="Arial"/>
          <w:i/>
        </w:rPr>
        <w:t>g</w:t>
      </w:r>
      <w:r>
        <w:rPr>
          <w:rFonts w:ascii="Arial" w:hAnsi="Arial" w:cs="Arial"/>
        </w:rPr>
        <w:t xml:space="preserve"> e </w:t>
      </w:r>
      <w:r w:rsidRPr="00FF74B5">
        <w:rPr>
          <w:rFonts w:ascii="Arial" w:hAnsi="Arial" w:cs="Arial"/>
          <w:i/>
        </w:rPr>
        <w:t>h</w:t>
      </w:r>
      <w:r>
        <w:rPr>
          <w:rFonts w:ascii="Arial" w:hAnsi="Arial" w:cs="Arial"/>
        </w:rPr>
        <w:t xml:space="preserve"> do relatório complementar que instrui esta Representação.</w:t>
      </w:r>
    </w:p>
    <w:p w:rsidR="003F614F" w:rsidRPr="00896649" w:rsidRDefault="003F614F" w:rsidP="003F614F">
      <w:pPr>
        <w:widowControl w:val="0"/>
        <w:tabs>
          <w:tab w:val="left" w:pos="1418"/>
        </w:tabs>
        <w:spacing w:after="240" w:line="360" w:lineRule="auto"/>
        <w:jc w:val="both"/>
        <w:rPr>
          <w:rFonts w:ascii="Arial" w:hAnsi="Arial" w:cs="Arial"/>
          <w:b/>
          <w:bCs/>
        </w:rPr>
      </w:pPr>
    </w:p>
    <w:p w:rsidR="003F614F" w:rsidRPr="00B030F1" w:rsidRDefault="003F614F" w:rsidP="003F614F">
      <w:pPr>
        <w:widowControl w:val="0"/>
        <w:tabs>
          <w:tab w:val="left" w:pos="1418"/>
        </w:tabs>
        <w:spacing w:after="240" w:line="360" w:lineRule="auto"/>
        <w:jc w:val="both"/>
        <w:rPr>
          <w:rFonts w:ascii="Arial" w:hAnsi="Arial" w:cs="Arial"/>
          <w:b/>
          <w:bCs/>
        </w:rPr>
      </w:pPr>
      <w:r w:rsidRPr="00B030F1">
        <w:rPr>
          <w:rFonts w:ascii="Arial" w:hAnsi="Arial" w:cs="Arial"/>
          <w:b/>
          <w:bCs/>
        </w:rPr>
        <w:t>II. DO DIREITO</w:t>
      </w:r>
    </w:p>
    <w:p w:rsidR="003F614F" w:rsidRPr="00B412EB" w:rsidRDefault="00B412EB" w:rsidP="003F614F">
      <w:pPr>
        <w:widowControl w:val="0"/>
        <w:numPr>
          <w:ilvl w:val="0"/>
          <w:numId w:val="6"/>
        </w:numPr>
        <w:tabs>
          <w:tab w:val="left" w:pos="1418"/>
        </w:tabs>
        <w:spacing w:after="240" w:line="360" w:lineRule="auto"/>
        <w:ind w:left="0" w:firstLine="0"/>
        <w:jc w:val="both"/>
        <w:rPr>
          <w:rFonts w:ascii="Arial" w:hAnsi="Arial" w:cs="Arial"/>
          <w:bCs/>
        </w:rPr>
      </w:pPr>
      <w:r w:rsidRPr="00B412EB">
        <w:rPr>
          <w:rFonts w:ascii="Arial" w:hAnsi="Arial" w:cs="Arial"/>
          <w:bCs/>
        </w:rPr>
        <w:t>À vista dos mencionados elementos indicativos de graves irregularidades nos procedimentos de Dispensa de Licitação e na execução dos contratos deles decorrentes, com possíveis prejuízos ao erário municipal, não remanesce dúvida acerca da competência desta Corte para apreciação da matéria</w:t>
      </w:r>
      <w:r w:rsidR="003F614F" w:rsidRPr="00B412EB">
        <w:rPr>
          <w:rFonts w:ascii="Arial" w:hAnsi="Arial" w:cs="Arial"/>
          <w:bCs/>
        </w:rPr>
        <w:t xml:space="preserve">, nos termos da Constituição Estadual, da Lei Orgânica deste Tribunal de Contas e do Regimento Interno do Tribunal: </w:t>
      </w:r>
    </w:p>
    <w:p w:rsidR="003F614F" w:rsidRDefault="003F614F" w:rsidP="00B412EB">
      <w:pPr>
        <w:tabs>
          <w:tab w:val="left" w:pos="1418"/>
        </w:tabs>
        <w:ind w:left="1985"/>
        <w:jc w:val="both"/>
        <w:rPr>
          <w:rFonts w:ascii="Arial" w:hAnsi="Arial" w:cs="Arial"/>
          <w:sz w:val="20"/>
          <w:szCs w:val="20"/>
        </w:rPr>
      </w:pPr>
      <w:r w:rsidRPr="00D67F70">
        <w:rPr>
          <w:rFonts w:ascii="Arial" w:hAnsi="Arial" w:cs="Arial"/>
          <w:b/>
          <w:sz w:val="20"/>
          <w:szCs w:val="20"/>
        </w:rPr>
        <w:t>Constituição do Estado de Minas Gerais</w:t>
      </w:r>
      <w:r>
        <w:rPr>
          <w:rFonts w:ascii="Arial" w:hAnsi="Arial" w:cs="Arial"/>
          <w:sz w:val="20"/>
          <w:szCs w:val="20"/>
        </w:rPr>
        <w:t>:</w:t>
      </w:r>
    </w:p>
    <w:p w:rsidR="003F614F" w:rsidRDefault="003F614F" w:rsidP="00B412EB">
      <w:pPr>
        <w:widowControl w:val="0"/>
        <w:tabs>
          <w:tab w:val="left" w:pos="1418"/>
        </w:tabs>
        <w:ind w:left="1985"/>
        <w:jc w:val="both"/>
        <w:rPr>
          <w:rFonts w:ascii="Arial" w:hAnsi="Arial" w:cs="Arial"/>
          <w:sz w:val="20"/>
          <w:szCs w:val="20"/>
        </w:rPr>
      </w:pPr>
      <w:r w:rsidRPr="00C0562E">
        <w:rPr>
          <w:rFonts w:ascii="Arial" w:hAnsi="Arial" w:cs="Arial"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>76</w:t>
      </w:r>
      <w:r w:rsidRPr="00C0562E">
        <w:rPr>
          <w:rFonts w:ascii="Arial" w:hAnsi="Arial" w:cs="Arial"/>
          <w:sz w:val="20"/>
          <w:szCs w:val="20"/>
        </w:rPr>
        <w:t>.</w:t>
      </w:r>
      <w:r w:rsidR="00B412EB">
        <w:rPr>
          <w:rFonts w:ascii="Arial" w:hAnsi="Arial" w:cs="Arial"/>
          <w:sz w:val="20"/>
          <w:szCs w:val="20"/>
        </w:rPr>
        <w:t xml:space="preserve"> O c</w:t>
      </w:r>
      <w:r>
        <w:rPr>
          <w:rFonts w:ascii="Arial" w:hAnsi="Arial" w:cs="Arial"/>
          <w:sz w:val="20"/>
          <w:szCs w:val="20"/>
        </w:rPr>
        <w:t>ontrole externo, a cargo da Assembleia Legislativa, será exercido com o auxílio do Tribunal de Contas, ao qual compete:</w:t>
      </w:r>
    </w:p>
    <w:p w:rsidR="003F614F" w:rsidRDefault="003F614F" w:rsidP="00B412EB">
      <w:pPr>
        <w:widowControl w:val="0"/>
        <w:tabs>
          <w:tab w:val="left" w:pos="1418"/>
        </w:tabs>
        <w:ind w:left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III. </w:t>
      </w:r>
      <w:proofErr w:type="gramStart"/>
      <w:r>
        <w:rPr>
          <w:rFonts w:ascii="Arial" w:hAnsi="Arial" w:cs="Arial"/>
          <w:sz w:val="20"/>
          <w:szCs w:val="20"/>
        </w:rPr>
        <w:t>fixar</w:t>
      </w:r>
      <w:proofErr w:type="gramEnd"/>
      <w:r>
        <w:rPr>
          <w:rFonts w:ascii="Arial" w:hAnsi="Arial" w:cs="Arial"/>
          <w:sz w:val="20"/>
          <w:szCs w:val="20"/>
        </w:rPr>
        <w:t xml:space="preserve"> a responsabilidade de quem tiver dado causa a perda, extravio ou outra irregularidade de que tenha resultado prejuízo ao Estado ou a entidade da administração indireta;</w:t>
      </w:r>
    </w:p>
    <w:p w:rsidR="003F614F" w:rsidRDefault="003F614F" w:rsidP="00B412EB">
      <w:pPr>
        <w:widowControl w:val="0"/>
        <w:tabs>
          <w:tab w:val="left" w:pos="1418"/>
        </w:tabs>
        <w:ind w:left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VII. </w:t>
      </w:r>
      <w:proofErr w:type="gramStart"/>
      <w:r>
        <w:rPr>
          <w:rFonts w:ascii="Arial" w:hAnsi="Arial" w:cs="Arial"/>
          <w:sz w:val="20"/>
          <w:szCs w:val="20"/>
        </w:rPr>
        <w:t>realizar</w:t>
      </w:r>
      <w:proofErr w:type="gramEnd"/>
      <w:r>
        <w:rPr>
          <w:rFonts w:ascii="Arial" w:hAnsi="Arial" w:cs="Arial"/>
          <w:sz w:val="20"/>
          <w:szCs w:val="20"/>
        </w:rPr>
        <w:t xml:space="preserve">, por iniciativa própria, ou a pedido da Assembleia Legislativa ou de comissão sua, inspeção e auditoria de natureza contábil, financeira, </w:t>
      </w:r>
      <w:r>
        <w:rPr>
          <w:rFonts w:ascii="Arial" w:hAnsi="Arial" w:cs="Arial"/>
          <w:sz w:val="20"/>
          <w:szCs w:val="20"/>
        </w:rPr>
        <w:lastRenderedPageBreak/>
        <w:t>orçamentária, operacional e patrimonial em órgão de qualquer dos Poderes e em entidade da administração indireta;</w:t>
      </w:r>
    </w:p>
    <w:p w:rsidR="003F614F" w:rsidRDefault="003F614F" w:rsidP="00B412EB">
      <w:pPr>
        <w:widowControl w:val="0"/>
        <w:tabs>
          <w:tab w:val="left" w:pos="1418"/>
        </w:tabs>
        <w:ind w:left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XIII. </w:t>
      </w:r>
      <w:proofErr w:type="gramStart"/>
      <w:r>
        <w:rPr>
          <w:rFonts w:ascii="Arial" w:hAnsi="Arial" w:cs="Arial"/>
          <w:sz w:val="20"/>
          <w:szCs w:val="20"/>
        </w:rPr>
        <w:t>aplicar</w:t>
      </w:r>
      <w:proofErr w:type="gramEnd"/>
      <w:r>
        <w:rPr>
          <w:rFonts w:ascii="Arial" w:hAnsi="Arial" w:cs="Arial"/>
          <w:sz w:val="20"/>
          <w:szCs w:val="20"/>
        </w:rPr>
        <w:t xml:space="preserve"> ao responsável, em caso de ilegalidade de despesa ou irregularidade de contas, a sanção prevista em lei, que estabelecerá, entre outras cominações, multa proporcional ao dano causado ao erário;</w:t>
      </w:r>
    </w:p>
    <w:p w:rsidR="00B412EB" w:rsidRDefault="003F614F" w:rsidP="00B412EB">
      <w:pPr>
        <w:widowControl w:val="0"/>
        <w:tabs>
          <w:tab w:val="left" w:pos="1418"/>
        </w:tabs>
        <w:ind w:left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XVI. </w:t>
      </w:r>
      <w:proofErr w:type="gramStart"/>
      <w:r>
        <w:rPr>
          <w:rFonts w:ascii="Arial" w:hAnsi="Arial" w:cs="Arial"/>
          <w:sz w:val="20"/>
          <w:szCs w:val="20"/>
        </w:rPr>
        <w:t>estabelecer</w:t>
      </w:r>
      <w:proofErr w:type="gramEnd"/>
      <w:r>
        <w:rPr>
          <w:rFonts w:ascii="Arial" w:hAnsi="Arial" w:cs="Arial"/>
          <w:sz w:val="20"/>
          <w:szCs w:val="20"/>
        </w:rPr>
        <w:t xml:space="preserve"> prazo para que o órgão ou entidade tome as providências necessárias ao cumprimento da lei, se apurada ilegalidade;</w:t>
      </w:r>
    </w:p>
    <w:p w:rsidR="003F614F" w:rsidRDefault="003F614F" w:rsidP="00B412EB">
      <w:pPr>
        <w:widowControl w:val="0"/>
        <w:tabs>
          <w:tab w:val="left" w:pos="1418"/>
        </w:tabs>
        <w:ind w:left="1985"/>
        <w:jc w:val="both"/>
        <w:rPr>
          <w:rFonts w:ascii="Arial" w:hAnsi="Arial" w:cs="Arial"/>
          <w:bCs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F614F" w:rsidRPr="00D67F70" w:rsidRDefault="003F614F" w:rsidP="00B412EB">
      <w:pPr>
        <w:tabs>
          <w:tab w:val="left" w:pos="1418"/>
        </w:tabs>
        <w:ind w:left="360" w:firstLine="1625"/>
        <w:jc w:val="both"/>
        <w:rPr>
          <w:rFonts w:ascii="Arial" w:hAnsi="Arial" w:cs="Arial"/>
          <w:b/>
          <w:sz w:val="20"/>
          <w:szCs w:val="20"/>
        </w:rPr>
      </w:pPr>
      <w:r w:rsidRPr="00D67F70">
        <w:rPr>
          <w:rFonts w:ascii="Arial" w:hAnsi="Arial" w:cs="Arial"/>
          <w:b/>
          <w:sz w:val="20"/>
          <w:szCs w:val="20"/>
        </w:rPr>
        <w:t>Lei Complementar nº 102, de 17 de janeiro de 2008</w:t>
      </w:r>
      <w:r>
        <w:rPr>
          <w:rFonts w:ascii="Arial" w:hAnsi="Arial" w:cs="Arial"/>
          <w:b/>
          <w:sz w:val="20"/>
          <w:szCs w:val="20"/>
        </w:rPr>
        <w:t>:</w:t>
      </w:r>
    </w:p>
    <w:p w:rsidR="003F614F" w:rsidRPr="00D67F70" w:rsidRDefault="003F614F" w:rsidP="00187431">
      <w:pPr>
        <w:pStyle w:val="western"/>
        <w:spacing w:before="0" w:after="0" w:line="240" w:lineRule="auto"/>
        <w:ind w:left="1985"/>
        <w:jc w:val="both"/>
        <w:rPr>
          <w:rFonts w:ascii="Arial" w:hAnsi="Arial" w:cs="Arial"/>
          <w:color w:val="000000"/>
          <w:sz w:val="20"/>
          <w:szCs w:val="20"/>
        </w:rPr>
      </w:pPr>
      <w:r w:rsidRPr="00D67F70">
        <w:rPr>
          <w:rFonts w:ascii="Arial" w:hAnsi="Arial" w:cs="Arial"/>
          <w:color w:val="000000"/>
          <w:sz w:val="20"/>
          <w:szCs w:val="20"/>
        </w:rPr>
        <w:t xml:space="preserve">Art. 3º Compete ao Tribunal de Contas: </w:t>
      </w:r>
    </w:p>
    <w:p w:rsidR="003F614F" w:rsidRPr="00D67F70" w:rsidRDefault="003F614F" w:rsidP="00187431">
      <w:pPr>
        <w:pStyle w:val="western"/>
        <w:spacing w:before="0" w:after="0" w:line="240" w:lineRule="auto"/>
        <w:ind w:left="1985"/>
        <w:jc w:val="both"/>
        <w:rPr>
          <w:rFonts w:ascii="Arial" w:hAnsi="Arial" w:cs="Arial"/>
          <w:color w:val="000000"/>
          <w:sz w:val="20"/>
          <w:szCs w:val="20"/>
        </w:rPr>
      </w:pPr>
      <w:r w:rsidRPr="00D67F70">
        <w:rPr>
          <w:rFonts w:ascii="Arial" w:hAnsi="Arial" w:cs="Arial"/>
          <w:color w:val="000000"/>
          <w:sz w:val="20"/>
          <w:szCs w:val="20"/>
        </w:rPr>
        <w:t xml:space="preserve">III - julgar as contas dos administradores e demais responsáveis por dinheiro, bens ou valores públicos, de órgão de qualquer dos Poderes do Estado ou de Município ou de entidade da administração indireta estadual ou municipal; </w:t>
      </w:r>
    </w:p>
    <w:p w:rsidR="003F614F" w:rsidRPr="00D67F70" w:rsidRDefault="003F614F" w:rsidP="00187431">
      <w:pPr>
        <w:pStyle w:val="western"/>
        <w:spacing w:before="0" w:after="0" w:line="240" w:lineRule="auto"/>
        <w:ind w:left="1985"/>
        <w:jc w:val="both"/>
        <w:rPr>
          <w:rFonts w:ascii="Arial" w:hAnsi="Arial" w:cs="Arial"/>
          <w:color w:val="000000"/>
          <w:sz w:val="20"/>
          <w:szCs w:val="20"/>
        </w:rPr>
      </w:pPr>
      <w:r w:rsidRPr="00D67F70">
        <w:rPr>
          <w:rFonts w:ascii="Arial" w:hAnsi="Arial" w:cs="Arial"/>
          <w:color w:val="000000"/>
          <w:sz w:val="20"/>
          <w:szCs w:val="20"/>
        </w:rPr>
        <w:t xml:space="preserve">IV - fiscalizar os atos de gestão da receita e da despesa públicas, assim como os de que resulte nascimento ou extinção de direito ou obrigação, no que se refere aos aspectos de legalidade, legitimidade, economicidade e razoabilidade; </w:t>
      </w:r>
    </w:p>
    <w:p w:rsidR="003F614F" w:rsidRPr="00D67F70" w:rsidRDefault="003F614F" w:rsidP="00187431">
      <w:pPr>
        <w:pStyle w:val="western"/>
        <w:spacing w:before="0" w:after="0" w:line="240" w:lineRule="auto"/>
        <w:ind w:left="1985"/>
        <w:jc w:val="both"/>
        <w:rPr>
          <w:rFonts w:ascii="Arial" w:hAnsi="Arial" w:cs="Arial"/>
          <w:color w:val="000000"/>
          <w:sz w:val="20"/>
          <w:szCs w:val="20"/>
        </w:rPr>
      </w:pPr>
      <w:r w:rsidRPr="00D67F70">
        <w:rPr>
          <w:rFonts w:ascii="Arial" w:hAnsi="Arial" w:cs="Arial"/>
          <w:color w:val="000000"/>
          <w:sz w:val="20"/>
          <w:szCs w:val="20"/>
        </w:rPr>
        <w:t xml:space="preserve">V - fixar a responsabilidade de quem tiver dado causa a perda, extravio ou outra irregularidade de que tenha resultado prejuízo ao Estado ou a Município; </w:t>
      </w:r>
    </w:p>
    <w:p w:rsidR="003F614F" w:rsidRPr="00D67F70" w:rsidRDefault="003F614F" w:rsidP="00187431">
      <w:pPr>
        <w:pStyle w:val="western"/>
        <w:spacing w:before="0" w:after="0" w:line="240" w:lineRule="auto"/>
        <w:ind w:left="1985"/>
        <w:jc w:val="both"/>
        <w:rPr>
          <w:rFonts w:ascii="Arial" w:hAnsi="Arial" w:cs="Arial"/>
          <w:color w:val="000000"/>
          <w:sz w:val="20"/>
          <w:szCs w:val="20"/>
        </w:rPr>
      </w:pPr>
      <w:r w:rsidRPr="00D67F70">
        <w:rPr>
          <w:rFonts w:ascii="Arial" w:hAnsi="Arial" w:cs="Arial"/>
          <w:color w:val="000000"/>
          <w:sz w:val="20"/>
          <w:szCs w:val="20"/>
        </w:rPr>
        <w:t>IX - realizar, por iniciativa</w:t>
      </w:r>
      <w:r w:rsidR="00F03520">
        <w:rPr>
          <w:rFonts w:ascii="Arial" w:hAnsi="Arial" w:cs="Arial"/>
          <w:color w:val="000000"/>
          <w:sz w:val="20"/>
          <w:szCs w:val="20"/>
        </w:rPr>
        <w:t xml:space="preserve"> própria ou a pedido da Assemble</w:t>
      </w:r>
      <w:r w:rsidRPr="00D67F70">
        <w:rPr>
          <w:rFonts w:ascii="Arial" w:hAnsi="Arial" w:cs="Arial"/>
          <w:color w:val="000000"/>
          <w:sz w:val="20"/>
          <w:szCs w:val="20"/>
        </w:rPr>
        <w:t xml:space="preserve">ia Legislativa, de Câmara Municipal ou de comissão de qualquer dessas Casas, inspeção e auditoria de natureza contábil, financeira, orçamentária, operacional e patrimonial em unidade da administração direta ou indireta dos Poderes do Estado ou de Município; </w:t>
      </w:r>
    </w:p>
    <w:p w:rsidR="003F614F" w:rsidRPr="00D67F70" w:rsidRDefault="003F614F" w:rsidP="00187431">
      <w:pPr>
        <w:pStyle w:val="western"/>
        <w:spacing w:before="0" w:after="0" w:line="240" w:lineRule="auto"/>
        <w:ind w:left="1985"/>
        <w:jc w:val="both"/>
        <w:rPr>
          <w:rFonts w:ascii="Arial" w:hAnsi="Arial" w:cs="Arial"/>
          <w:color w:val="000000"/>
          <w:sz w:val="20"/>
          <w:szCs w:val="20"/>
        </w:rPr>
      </w:pPr>
      <w:r w:rsidRPr="00D67F70">
        <w:rPr>
          <w:rFonts w:ascii="Arial" w:hAnsi="Arial" w:cs="Arial"/>
          <w:color w:val="000000"/>
          <w:sz w:val="20"/>
          <w:szCs w:val="20"/>
        </w:rPr>
        <w:t xml:space="preserve">XV - aplicar ao responsável, em caso de ilegalidade de despesa ou irregularidade de contas, as sanções previstas em Lei; </w:t>
      </w:r>
    </w:p>
    <w:p w:rsidR="003F614F" w:rsidRPr="00D67F70" w:rsidRDefault="003F614F" w:rsidP="00187431">
      <w:pPr>
        <w:pStyle w:val="western"/>
        <w:spacing w:before="0" w:after="0" w:line="240" w:lineRule="auto"/>
        <w:ind w:left="1985"/>
        <w:jc w:val="both"/>
        <w:rPr>
          <w:rFonts w:ascii="Arial" w:hAnsi="Arial" w:cs="Arial"/>
          <w:color w:val="000000"/>
          <w:sz w:val="20"/>
          <w:szCs w:val="20"/>
        </w:rPr>
      </w:pPr>
      <w:r w:rsidRPr="00D67F70">
        <w:rPr>
          <w:rFonts w:ascii="Arial" w:hAnsi="Arial" w:cs="Arial"/>
          <w:color w:val="000000"/>
          <w:sz w:val="20"/>
          <w:szCs w:val="20"/>
        </w:rPr>
        <w:t xml:space="preserve">XVII - fiscalizar contrato, convênio, ajuste ou instrumento congênere que envolva a concessão, a cessão, a doação ou a permissão de qualquer natureza, a título oneroso ou gratuito, de responsabilidade do Estado ou de Município; </w:t>
      </w:r>
    </w:p>
    <w:p w:rsidR="003F614F" w:rsidRDefault="003F614F" w:rsidP="00187431">
      <w:pPr>
        <w:tabs>
          <w:tab w:val="left" w:pos="1418"/>
        </w:tabs>
        <w:ind w:left="360" w:firstLine="1625"/>
        <w:jc w:val="both"/>
        <w:rPr>
          <w:rFonts w:ascii="Arial" w:hAnsi="Arial" w:cs="Arial"/>
          <w:sz w:val="20"/>
          <w:szCs w:val="20"/>
        </w:rPr>
      </w:pPr>
    </w:p>
    <w:p w:rsidR="003F614F" w:rsidRPr="00D67F70" w:rsidRDefault="003F614F" w:rsidP="00187431">
      <w:pPr>
        <w:tabs>
          <w:tab w:val="left" w:pos="1418"/>
        </w:tabs>
        <w:ind w:left="360" w:firstLine="1625"/>
        <w:jc w:val="both"/>
        <w:rPr>
          <w:rFonts w:ascii="Arial" w:hAnsi="Arial" w:cs="Arial"/>
          <w:b/>
          <w:sz w:val="20"/>
          <w:szCs w:val="20"/>
        </w:rPr>
      </w:pPr>
      <w:r w:rsidRPr="00D67F70">
        <w:rPr>
          <w:rFonts w:ascii="Arial" w:hAnsi="Arial" w:cs="Arial"/>
          <w:b/>
          <w:sz w:val="20"/>
          <w:szCs w:val="20"/>
        </w:rPr>
        <w:t>Resolução nº 12, de 2008 (Regimento Interno do Tribunal de Contas):</w:t>
      </w:r>
    </w:p>
    <w:p w:rsidR="003F614F" w:rsidRDefault="003F614F" w:rsidP="00187431">
      <w:pPr>
        <w:widowControl w:val="0"/>
        <w:tabs>
          <w:tab w:val="left" w:pos="1418"/>
        </w:tabs>
        <w:ind w:left="1985"/>
        <w:jc w:val="both"/>
        <w:rPr>
          <w:rFonts w:ascii="Arial" w:hAnsi="Arial" w:cs="Arial"/>
          <w:sz w:val="20"/>
          <w:szCs w:val="20"/>
        </w:rPr>
      </w:pPr>
      <w:r w:rsidRPr="00C0562E">
        <w:rPr>
          <w:rFonts w:ascii="Arial" w:hAnsi="Arial" w:cs="Arial"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>3º</w:t>
      </w:r>
      <w:r w:rsidRPr="00C0562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Compete ao Tribunal:</w:t>
      </w:r>
    </w:p>
    <w:p w:rsidR="003F614F" w:rsidRDefault="003F614F" w:rsidP="00187431">
      <w:pPr>
        <w:widowControl w:val="0"/>
        <w:tabs>
          <w:tab w:val="left" w:pos="1418"/>
        </w:tabs>
        <w:ind w:left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IV. </w:t>
      </w:r>
      <w:proofErr w:type="gramStart"/>
      <w:r>
        <w:rPr>
          <w:rFonts w:ascii="Arial" w:hAnsi="Arial" w:cs="Arial"/>
          <w:sz w:val="20"/>
          <w:szCs w:val="20"/>
        </w:rPr>
        <w:t>fiscalizar</w:t>
      </w:r>
      <w:proofErr w:type="gramEnd"/>
      <w:r>
        <w:rPr>
          <w:rFonts w:ascii="Arial" w:hAnsi="Arial" w:cs="Arial"/>
          <w:sz w:val="20"/>
          <w:szCs w:val="20"/>
        </w:rPr>
        <w:t xml:space="preserve"> os atos de gestão da receita e da despesa públicas, assim como os de que resultem criação ou extinção de direitos ou obrigações, no que se refere aos aspectos de legalidade, legitimidade, economicidade e razoabilidade;</w:t>
      </w:r>
    </w:p>
    <w:p w:rsidR="003F614F" w:rsidRDefault="003F614F" w:rsidP="00187431">
      <w:pPr>
        <w:widowControl w:val="0"/>
        <w:tabs>
          <w:tab w:val="left" w:pos="1418"/>
        </w:tabs>
        <w:ind w:left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fixar a responsabilidade de quem tiver dado causa à perda, extravio ou a outra irregularidade de que tenha resultado prejuízo ao Estado ou ao Município;</w:t>
      </w:r>
    </w:p>
    <w:p w:rsidR="003F614F" w:rsidRDefault="003F614F" w:rsidP="00187431">
      <w:pPr>
        <w:widowControl w:val="0"/>
        <w:tabs>
          <w:tab w:val="left" w:pos="1418"/>
        </w:tabs>
        <w:ind w:left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VII. </w:t>
      </w:r>
      <w:proofErr w:type="gramStart"/>
      <w:r>
        <w:rPr>
          <w:rFonts w:ascii="Arial" w:hAnsi="Arial" w:cs="Arial"/>
          <w:sz w:val="20"/>
          <w:szCs w:val="20"/>
        </w:rPr>
        <w:t>apreciar</w:t>
      </w:r>
      <w:proofErr w:type="gramEnd"/>
      <w:r>
        <w:rPr>
          <w:rFonts w:ascii="Arial" w:hAnsi="Arial" w:cs="Arial"/>
          <w:sz w:val="20"/>
          <w:szCs w:val="20"/>
        </w:rPr>
        <w:t>, para o fim de registro, a legalidade dos atos de admissão de pessoal, a qualquer título, por órgão ou entidade de administração direta e indireta  dos Poderes do Estado e de Município, excetuadas as nomeações para cargo de provimento em comissão;</w:t>
      </w:r>
    </w:p>
    <w:p w:rsidR="003F614F" w:rsidRDefault="003F614F" w:rsidP="00187431">
      <w:pPr>
        <w:widowControl w:val="0"/>
        <w:tabs>
          <w:tab w:val="left" w:pos="1418"/>
        </w:tabs>
        <w:ind w:left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IX. </w:t>
      </w:r>
      <w:proofErr w:type="gramStart"/>
      <w:r>
        <w:rPr>
          <w:rFonts w:ascii="Arial" w:hAnsi="Arial" w:cs="Arial"/>
          <w:sz w:val="20"/>
          <w:szCs w:val="20"/>
        </w:rPr>
        <w:t>realizar</w:t>
      </w:r>
      <w:proofErr w:type="gramEnd"/>
      <w:r>
        <w:rPr>
          <w:rFonts w:ascii="Arial" w:hAnsi="Arial" w:cs="Arial"/>
          <w:sz w:val="20"/>
          <w:szCs w:val="20"/>
        </w:rPr>
        <w:t>, por iniciativa própria ou a pedido da Assembleia Legislativa, de Câmara Municipal ou de comissão de qualquer dessas Casas, inspeção e auditoria de natureza contábil, financeira, orçamentária, operacional e patrimonial em unidade da administração direta ou indireta dos Poderes do Estado ou de Município;</w:t>
      </w:r>
    </w:p>
    <w:p w:rsidR="003F614F" w:rsidRDefault="003F614F" w:rsidP="00187431">
      <w:pPr>
        <w:widowControl w:val="0"/>
        <w:tabs>
          <w:tab w:val="left" w:pos="1418"/>
        </w:tabs>
        <w:ind w:left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XV. </w:t>
      </w:r>
      <w:proofErr w:type="gramStart"/>
      <w:r>
        <w:rPr>
          <w:rFonts w:ascii="Arial" w:hAnsi="Arial" w:cs="Arial"/>
          <w:sz w:val="20"/>
          <w:szCs w:val="20"/>
        </w:rPr>
        <w:t>aplicar</w:t>
      </w:r>
      <w:proofErr w:type="gramEnd"/>
      <w:r>
        <w:rPr>
          <w:rFonts w:ascii="Arial" w:hAnsi="Arial" w:cs="Arial"/>
          <w:sz w:val="20"/>
          <w:szCs w:val="20"/>
        </w:rPr>
        <w:t xml:space="preserve"> ao responsável, em caso de ilegalidade de despesa ou irregularidade de contas, as sanções previstas em lei;</w:t>
      </w:r>
    </w:p>
    <w:p w:rsidR="003F614F" w:rsidRDefault="003F614F" w:rsidP="00187431">
      <w:pPr>
        <w:widowControl w:val="0"/>
        <w:tabs>
          <w:tab w:val="left" w:pos="1418"/>
        </w:tabs>
        <w:ind w:left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XVIII. </w:t>
      </w:r>
      <w:proofErr w:type="gramStart"/>
      <w:r>
        <w:rPr>
          <w:rFonts w:ascii="Arial" w:hAnsi="Arial" w:cs="Arial"/>
          <w:sz w:val="20"/>
          <w:szCs w:val="20"/>
        </w:rPr>
        <w:t>estabelecer</w:t>
      </w:r>
      <w:proofErr w:type="gramEnd"/>
      <w:r>
        <w:rPr>
          <w:rFonts w:ascii="Arial" w:hAnsi="Arial" w:cs="Arial"/>
          <w:sz w:val="20"/>
          <w:szCs w:val="20"/>
        </w:rPr>
        <w:t xml:space="preserve"> prazo para que o dirigente de órgão ou entidade tome as providências necessárias ao cumprimento da lei, se apurada ilegalidade;</w:t>
      </w:r>
    </w:p>
    <w:p w:rsidR="003F614F" w:rsidRDefault="003F614F" w:rsidP="00B412EB">
      <w:pPr>
        <w:widowControl w:val="0"/>
        <w:tabs>
          <w:tab w:val="left" w:pos="1418"/>
        </w:tabs>
        <w:ind w:left="1985"/>
        <w:jc w:val="both"/>
        <w:rPr>
          <w:rFonts w:ascii="Arial" w:hAnsi="Arial" w:cs="Arial"/>
          <w:bCs/>
        </w:rPr>
      </w:pPr>
    </w:p>
    <w:p w:rsidR="003F614F" w:rsidRDefault="003F614F" w:rsidP="0059508E">
      <w:pPr>
        <w:widowControl w:val="0"/>
        <w:numPr>
          <w:ilvl w:val="0"/>
          <w:numId w:val="6"/>
        </w:numPr>
        <w:tabs>
          <w:tab w:val="left" w:pos="1418"/>
        </w:tabs>
        <w:spacing w:after="240" w:line="360" w:lineRule="auto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Saliente-se, também, que a legitimidade passiva, </w:t>
      </w:r>
      <w:r w:rsidR="00187431">
        <w:rPr>
          <w:rFonts w:ascii="Arial" w:hAnsi="Arial" w:cs="Arial"/>
          <w:bCs/>
        </w:rPr>
        <w:t xml:space="preserve">inclusive das </w:t>
      </w:r>
      <w:r w:rsidR="00187431">
        <w:rPr>
          <w:rFonts w:ascii="Arial" w:hAnsi="Arial" w:cs="Arial"/>
          <w:bCs/>
        </w:rPr>
        <w:lastRenderedPageBreak/>
        <w:t>empresas contratadas</w:t>
      </w:r>
      <w:r>
        <w:rPr>
          <w:rFonts w:ascii="Arial" w:hAnsi="Arial" w:cs="Arial"/>
          <w:bCs/>
        </w:rPr>
        <w:t xml:space="preserve">, encontra respaldo </w:t>
      </w:r>
      <w:r w:rsidR="00187431">
        <w:rPr>
          <w:rFonts w:ascii="Arial" w:hAnsi="Arial" w:cs="Arial"/>
          <w:bCs/>
        </w:rPr>
        <w:t>nos dispositivos normativos transcritos, com destaque para os artigos 76, III, da CEMG; 3º, V, da LOTCEMG; e 3º, V, do RITCEMG</w:t>
      </w:r>
      <w:r w:rsidR="0059508E">
        <w:rPr>
          <w:rFonts w:ascii="Arial" w:hAnsi="Arial" w:cs="Arial"/>
          <w:bCs/>
        </w:rPr>
        <w:t>, que submetem à jurisdição desta Corte todos aqueles que derem causa a prejuízo aos cofres do estado de Minas Gerais e seus municípios.</w:t>
      </w:r>
    </w:p>
    <w:p w:rsidR="0059508E" w:rsidRPr="0059508E" w:rsidRDefault="0059508E" w:rsidP="0059508E">
      <w:pPr>
        <w:widowControl w:val="0"/>
        <w:numPr>
          <w:ilvl w:val="0"/>
          <w:numId w:val="6"/>
        </w:numPr>
        <w:tabs>
          <w:tab w:val="left" w:pos="1418"/>
        </w:tabs>
        <w:spacing w:after="240" w:line="360" w:lineRule="auto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responsabilidade dos fornecedores contratados pelos danos causados à Administração Pública também vem descrita no art. 25, §2º, da Lei nº 8.666, de 1993, que assim dispõe:</w:t>
      </w:r>
    </w:p>
    <w:p w:rsidR="0059508E" w:rsidRDefault="0059508E" w:rsidP="0059508E">
      <w:pPr>
        <w:widowControl w:val="0"/>
        <w:tabs>
          <w:tab w:val="left" w:pos="1418"/>
        </w:tabs>
        <w:ind w:left="226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Art. 25. [...]</w:t>
      </w:r>
    </w:p>
    <w:p w:rsidR="003F614F" w:rsidRPr="0059508E" w:rsidRDefault="0059508E" w:rsidP="0059508E">
      <w:pPr>
        <w:widowControl w:val="0"/>
        <w:tabs>
          <w:tab w:val="left" w:pos="1418"/>
        </w:tabs>
        <w:spacing w:after="240"/>
        <w:ind w:left="226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§2º Na hipótese deste artigo e em qualquer dos casos de dispensa, se comprovado superfaturamento, respondem solidariamente pelo dano causado à Fazenda Pública o fornecedor ou o prestador de serviços e o agente público responsável, sem prejuízo de outras sanções legais cabíveis.</w:t>
      </w:r>
      <w:r w:rsidR="003F614F" w:rsidRPr="0059508E">
        <w:rPr>
          <w:rFonts w:ascii="Arial" w:hAnsi="Arial" w:cs="Arial"/>
        </w:rPr>
        <w:t xml:space="preserve"> </w:t>
      </w:r>
    </w:p>
    <w:p w:rsidR="0059508E" w:rsidRDefault="0059508E" w:rsidP="003F614F">
      <w:pPr>
        <w:widowControl w:val="0"/>
        <w:numPr>
          <w:ilvl w:val="0"/>
          <w:numId w:val="6"/>
        </w:numPr>
        <w:tabs>
          <w:tab w:val="left" w:pos="1418"/>
        </w:tabs>
        <w:spacing w:after="24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 legitimidade ativa do Ministério Público de Contas, por sua vez, está expressamente consignada no art. 70, §1º, II, da Le</w:t>
      </w:r>
      <w:r w:rsidR="00505461">
        <w:rPr>
          <w:rFonts w:ascii="Arial" w:hAnsi="Arial" w:cs="Arial"/>
        </w:rPr>
        <w:t>i Complementar nº 102, de 2008.</w:t>
      </w:r>
    </w:p>
    <w:p w:rsidR="0059508E" w:rsidRDefault="0059508E" w:rsidP="003F614F">
      <w:pPr>
        <w:widowControl w:val="0"/>
        <w:numPr>
          <w:ilvl w:val="0"/>
          <w:numId w:val="6"/>
        </w:numPr>
        <w:tabs>
          <w:tab w:val="left" w:pos="1418"/>
        </w:tabs>
        <w:spacing w:after="24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Assentadas a competência e a legitimidade</w:t>
      </w:r>
      <w:r w:rsidR="00505461">
        <w:rPr>
          <w:rFonts w:ascii="Arial" w:hAnsi="Arial" w:cs="Arial"/>
        </w:rPr>
        <w:t xml:space="preserve">, </w:t>
      </w:r>
      <w:r w:rsidR="00F03520">
        <w:rPr>
          <w:rFonts w:ascii="Arial" w:hAnsi="Arial" w:cs="Arial"/>
        </w:rPr>
        <w:t xml:space="preserve">cumpre registrar que a prática de atos irregulares no manejo de recursos públicos sujeita os responsáveis às sanções, isoladas ou cumulativas, de </w:t>
      </w:r>
      <w:r w:rsidR="00F03520" w:rsidRPr="00F03520">
        <w:rPr>
          <w:rFonts w:ascii="Arial" w:hAnsi="Arial" w:cs="Arial"/>
        </w:rPr>
        <w:t>multa</w:t>
      </w:r>
      <w:r w:rsidR="00F03520">
        <w:rPr>
          <w:rFonts w:ascii="Arial" w:hAnsi="Arial" w:cs="Arial"/>
        </w:rPr>
        <w:t xml:space="preserve">, inabilitação para o exercício de cargo em comissão ou função de confiança e declaração de inidoneidade para licitação e contratar com o poder público, consoante art. 83 e seguintes da Lei Orgânica, sem prejuízo do ressarcimento dos danos causados aos cofres públicos, nos termos do art. </w:t>
      </w:r>
      <w:r w:rsidR="00C4126E">
        <w:rPr>
          <w:rFonts w:ascii="Arial" w:hAnsi="Arial" w:cs="Arial"/>
        </w:rPr>
        <w:t>94 da mesma norma.</w:t>
      </w:r>
    </w:p>
    <w:p w:rsidR="00C4126E" w:rsidRDefault="00565868" w:rsidP="003F614F">
      <w:pPr>
        <w:widowControl w:val="0"/>
        <w:numPr>
          <w:ilvl w:val="0"/>
          <w:numId w:val="6"/>
        </w:numPr>
        <w:tabs>
          <w:tab w:val="left" w:pos="1418"/>
        </w:tabs>
        <w:spacing w:after="24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fim, </w:t>
      </w:r>
      <w:r w:rsidR="00BC50EE">
        <w:rPr>
          <w:rFonts w:ascii="Arial" w:hAnsi="Arial" w:cs="Arial"/>
        </w:rPr>
        <w:t xml:space="preserve">impende salientar que a presente Representação tem em vista a apuração de irregularidades nos procedimentos de </w:t>
      </w:r>
      <w:r w:rsidR="00116E39" w:rsidRPr="00116E39">
        <w:rPr>
          <w:rFonts w:ascii="Arial" w:hAnsi="Arial" w:cs="Arial"/>
        </w:rPr>
        <w:t>Dispensa de Licitação nº 016/2011, 035/2011, 048/2011, 048/2012, 067/2012, 004/2013, 007/2013, 009/2013, 010/2013, 033/2013, 034/2013, 035/2013, 004/2014, 005/2014, 017/2014, 031/2014, 032/2014, 033/2014, 005/2015, 006/2015, 007/2015</w:t>
      </w:r>
      <w:r w:rsidR="00116E39">
        <w:rPr>
          <w:rFonts w:ascii="Arial" w:hAnsi="Arial" w:cs="Arial"/>
        </w:rPr>
        <w:t>, 013/2015, 014/2015 e 016/2015, todos destinados à contratação de serviços de limpeza urbana e coleta, transporte e tratamento de resíduos.</w:t>
      </w:r>
    </w:p>
    <w:p w:rsidR="00116E39" w:rsidRDefault="00116E39" w:rsidP="003F614F">
      <w:pPr>
        <w:widowControl w:val="0"/>
        <w:numPr>
          <w:ilvl w:val="0"/>
          <w:numId w:val="6"/>
        </w:numPr>
        <w:tabs>
          <w:tab w:val="left" w:pos="1418"/>
        </w:tabs>
        <w:spacing w:after="24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Trata-se, portanto, de objeto diverso do tratado na Denúncia nº 858.044 </w:t>
      </w:r>
      <w:r>
        <w:rPr>
          <w:rFonts w:ascii="Arial" w:hAnsi="Arial" w:cs="Arial"/>
        </w:rPr>
        <w:lastRenderedPageBreak/>
        <w:t>e seus apensos, em que são investigadas as Concorrências Públicas destinadas à contratação dos mesmos serviços.</w:t>
      </w:r>
    </w:p>
    <w:p w:rsidR="00116E39" w:rsidRDefault="00116E39" w:rsidP="003F614F">
      <w:pPr>
        <w:widowControl w:val="0"/>
        <w:numPr>
          <w:ilvl w:val="0"/>
          <w:numId w:val="6"/>
        </w:numPr>
        <w:tabs>
          <w:tab w:val="left" w:pos="1418"/>
        </w:tabs>
        <w:spacing w:after="24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que pese se refiram a procedimentos administrativos diferentes – aqui se cuida das Dispensas e lá, das </w:t>
      </w:r>
      <w:proofErr w:type="gramStart"/>
      <w:r>
        <w:rPr>
          <w:rFonts w:ascii="Arial" w:hAnsi="Arial" w:cs="Arial"/>
        </w:rPr>
        <w:t>Concorrências – inegável</w:t>
      </w:r>
      <w:proofErr w:type="gramEnd"/>
      <w:r>
        <w:rPr>
          <w:rFonts w:ascii="Arial" w:hAnsi="Arial" w:cs="Arial"/>
        </w:rPr>
        <w:t xml:space="preserve"> a conexão entre as matérias</w:t>
      </w:r>
      <w:r w:rsidR="00D90DDF">
        <w:rPr>
          <w:rFonts w:ascii="Arial" w:hAnsi="Arial" w:cs="Arial"/>
        </w:rPr>
        <w:t xml:space="preserve"> suscitadas</w:t>
      </w:r>
      <w:r>
        <w:rPr>
          <w:rFonts w:ascii="Arial" w:hAnsi="Arial" w:cs="Arial"/>
        </w:rPr>
        <w:t>, na medida em que as Dispensas são justificadas pela suspensão das Concorrências</w:t>
      </w:r>
      <w:r w:rsidR="009D4865">
        <w:rPr>
          <w:rFonts w:ascii="Arial" w:hAnsi="Arial" w:cs="Arial"/>
        </w:rPr>
        <w:t xml:space="preserve"> e os fatos de umas ou outras por vezes se tangenciem</w:t>
      </w:r>
      <w:r w:rsidR="00D90DDF">
        <w:rPr>
          <w:rFonts w:ascii="Arial" w:hAnsi="Arial" w:cs="Arial"/>
        </w:rPr>
        <w:t>, o que, em nosso entender, recomenda a distribuição desta Representação ao mesmo Relator daquela Denúncia</w:t>
      </w:r>
      <w:r w:rsidR="00E642B0">
        <w:rPr>
          <w:rFonts w:ascii="Arial" w:hAnsi="Arial" w:cs="Arial"/>
        </w:rPr>
        <w:t xml:space="preserve"> (</w:t>
      </w:r>
      <w:r w:rsidR="00D90DDF">
        <w:rPr>
          <w:rFonts w:ascii="Arial" w:hAnsi="Arial" w:cs="Arial"/>
        </w:rPr>
        <w:t>Conselheiro Gilberto Diniz</w:t>
      </w:r>
      <w:r w:rsidR="00E642B0">
        <w:rPr>
          <w:rFonts w:ascii="Arial" w:hAnsi="Arial" w:cs="Arial"/>
        </w:rPr>
        <w:t>)</w:t>
      </w:r>
      <w:r w:rsidR="00D90DDF">
        <w:rPr>
          <w:rFonts w:ascii="Arial" w:hAnsi="Arial" w:cs="Arial"/>
        </w:rPr>
        <w:t>, por dependência, com fundamento no art. 117 do Regimento Interno.</w:t>
      </w:r>
    </w:p>
    <w:p w:rsidR="00D90DDF" w:rsidRDefault="009D4865" w:rsidP="003F614F">
      <w:pPr>
        <w:widowControl w:val="0"/>
        <w:numPr>
          <w:ilvl w:val="0"/>
          <w:numId w:val="6"/>
        </w:numPr>
        <w:tabs>
          <w:tab w:val="left" w:pos="1418"/>
        </w:tabs>
        <w:spacing w:after="24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Contudo, justamente em virtude da diversidade de procedimentos, entendemos que os autos que se formarem a partir desta </w:t>
      </w:r>
      <w:r w:rsidRPr="00E642B0">
        <w:rPr>
          <w:rFonts w:ascii="Arial" w:hAnsi="Arial" w:cs="Arial"/>
        </w:rPr>
        <w:t xml:space="preserve">Representação </w:t>
      </w:r>
      <w:r w:rsidRPr="00E642B0">
        <w:rPr>
          <w:rFonts w:ascii="Arial" w:hAnsi="Arial" w:cs="Arial"/>
          <w:b/>
        </w:rPr>
        <w:t xml:space="preserve">não devem ser apensados </w:t>
      </w:r>
      <w:r>
        <w:rPr>
          <w:rFonts w:ascii="Arial" w:hAnsi="Arial" w:cs="Arial"/>
        </w:rPr>
        <w:t>aos da Denúncia nº 858.044, inclusive por se encontrarem em fase mais avançada de instrução, podendo prejudicar a tramitação regular, além de tumultuar a instrução processual</w:t>
      </w:r>
      <w:r w:rsidR="006F1061">
        <w:rPr>
          <w:rFonts w:ascii="Arial" w:hAnsi="Arial" w:cs="Arial"/>
        </w:rPr>
        <w:t xml:space="preserve"> (art. 158 do Regimento Interno)</w:t>
      </w:r>
      <w:r>
        <w:rPr>
          <w:rFonts w:ascii="Arial" w:hAnsi="Arial" w:cs="Arial"/>
        </w:rPr>
        <w:t>.</w:t>
      </w:r>
    </w:p>
    <w:p w:rsidR="003F614F" w:rsidRDefault="003F614F" w:rsidP="003F614F">
      <w:pPr>
        <w:tabs>
          <w:tab w:val="left" w:pos="1418"/>
        </w:tabs>
        <w:spacing w:after="200"/>
        <w:jc w:val="both"/>
        <w:rPr>
          <w:rFonts w:ascii="Arial" w:hAnsi="Arial" w:cs="Arial"/>
          <w:b/>
        </w:rPr>
      </w:pPr>
    </w:p>
    <w:p w:rsidR="003F614F" w:rsidRDefault="003F614F" w:rsidP="003F614F">
      <w:pPr>
        <w:tabs>
          <w:tab w:val="left" w:pos="1418"/>
        </w:tabs>
        <w:spacing w:after="200"/>
        <w:jc w:val="both"/>
        <w:rPr>
          <w:rFonts w:ascii="Arial" w:hAnsi="Arial" w:cs="Arial"/>
          <w:b/>
        </w:rPr>
      </w:pPr>
      <w:r w:rsidRPr="00FA4FC7">
        <w:rPr>
          <w:rFonts w:ascii="Arial" w:hAnsi="Arial" w:cs="Arial"/>
          <w:b/>
        </w:rPr>
        <w:t>III</w:t>
      </w:r>
      <w:r>
        <w:rPr>
          <w:rFonts w:ascii="Arial" w:hAnsi="Arial" w:cs="Arial"/>
          <w:b/>
        </w:rPr>
        <w:t>.</w:t>
      </w:r>
      <w:r w:rsidRPr="00FA4FC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PEDIDO</w:t>
      </w:r>
    </w:p>
    <w:p w:rsidR="003F614F" w:rsidRDefault="003F614F" w:rsidP="003F614F">
      <w:pPr>
        <w:tabs>
          <w:tab w:val="left" w:pos="1418"/>
        </w:tabs>
        <w:spacing w:after="200"/>
        <w:jc w:val="both"/>
        <w:rPr>
          <w:rFonts w:ascii="Arial" w:hAnsi="Arial" w:cs="Arial"/>
          <w:b/>
        </w:rPr>
      </w:pPr>
    </w:p>
    <w:p w:rsidR="003F614F" w:rsidRPr="00CA57D6" w:rsidRDefault="003F614F" w:rsidP="003F614F">
      <w:pPr>
        <w:numPr>
          <w:ilvl w:val="0"/>
          <w:numId w:val="6"/>
        </w:numPr>
        <w:tabs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Cs w:val="20"/>
        </w:rPr>
      </w:pPr>
      <w:r w:rsidRPr="00CA57D6">
        <w:rPr>
          <w:rFonts w:ascii="Arial" w:hAnsi="Arial" w:cs="Arial"/>
        </w:rPr>
        <w:t>Ante o exposto, este Ministério Público de Contas requer o recebimento da presente Representação e seu regular processamento, nos termos regimentais, e</w:t>
      </w:r>
      <w:r>
        <w:rPr>
          <w:rFonts w:ascii="Arial" w:hAnsi="Arial" w:cs="Arial"/>
        </w:rPr>
        <w:t xml:space="preserve"> </w:t>
      </w:r>
      <w:r w:rsidRPr="00CA57D6">
        <w:rPr>
          <w:rFonts w:ascii="Arial" w:hAnsi="Arial" w:cs="Arial"/>
          <w:szCs w:val="20"/>
        </w:rPr>
        <w:t xml:space="preserve">pleiteia: </w:t>
      </w:r>
    </w:p>
    <w:p w:rsidR="00D103B2" w:rsidRDefault="003F614F" w:rsidP="009D4865">
      <w:pPr>
        <w:pStyle w:val="PargrafodaLista"/>
        <w:numPr>
          <w:ilvl w:val="0"/>
          <w:numId w:val="10"/>
        </w:numPr>
        <w:tabs>
          <w:tab w:val="left" w:pos="1418"/>
        </w:tabs>
        <w:spacing w:after="200" w:line="360" w:lineRule="auto"/>
        <w:jc w:val="both"/>
        <w:rPr>
          <w:rFonts w:ascii="Arial" w:hAnsi="Arial" w:cs="Arial"/>
          <w:szCs w:val="20"/>
        </w:rPr>
      </w:pPr>
      <w:proofErr w:type="gramStart"/>
      <w:r w:rsidRPr="00D103B2">
        <w:rPr>
          <w:rFonts w:ascii="Arial" w:hAnsi="Arial" w:cs="Arial"/>
          <w:szCs w:val="20"/>
        </w:rPr>
        <w:t>a</w:t>
      </w:r>
      <w:proofErr w:type="gramEnd"/>
      <w:r w:rsidRPr="00D103B2">
        <w:rPr>
          <w:rFonts w:ascii="Arial" w:hAnsi="Arial" w:cs="Arial"/>
          <w:szCs w:val="20"/>
        </w:rPr>
        <w:t xml:space="preserve"> </w:t>
      </w:r>
      <w:r w:rsidR="00AA7E48" w:rsidRPr="00D103B2">
        <w:rPr>
          <w:rFonts w:ascii="Arial" w:hAnsi="Arial" w:cs="Arial"/>
          <w:szCs w:val="20"/>
        </w:rPr>
        <w:t>intimação dos representantes legais do Município de Ouro Preto para a remessa dos documentos necessários à complementação da apuração dos fatos ora relatados;</w:t>
      </w:r>
      <w:r w:rsidR="00C66E19" w:rsidRPr="00D103B2">
        <w:rPr>
          <w:rFonts w:ascii="Arial" w:hAnsi="Arial" w:cs="Arial"/>
          <w:szCs w:val="20"/>
        </w:rPr>
        <w:t xml:space="preserve"> </w:t>
      </w:r>
    </w:p>
    <w:p w:rsidR="009D4865" w:rsidRPr="00D103B2" w:rsidRDefault="009D4865" w:rsidP="009D4865">
      <w:pPr>
        <w:pStyle w:val="PargrafodaLista"/>
        <w:numPr>
          <w:ilvl w:val="0"/>
          <w:numId w:val="10"/>
        </w:numPr>
        <w:tabs>
          <w:tab w:val="left" w:pos="1418"/>
        </w:tabs>
        <w:spacing w:after="200" w:line="360" w:lineRule="auto"/>
        <w:jc w:val="both"/>
        <w:rPr>
          <w:rFonts w:ascii="Arial" w:hAnsi="Arial" w:cs="Arial"/>
          <w:szCs w:val="20"/>
        </w:rPr>
      </w:pPr>
      <w:proofErr w:type="gramStart"/>
      <w:r w:rsidRPr="00D103B2">
        <w:rPr>
          <w:rFonts w:ascii="Arial" w:hAnsi="Arial" w:cs="Arial"/>
          <w:szCs w:val="20"/>
        </w:rPr>
        <w:t>citação</w:t>
      </w:r>
      <w:proofErr w:type="gramEnd"/>
      <w:r w:rsidRPr="00D103B2">
        <w:rPr>
          <w:rFonts w:ascii="Arial" w:hAnsi="Arial" w:cs="Arial"/>
          <w:szCs w:val="20"/>
        </w:rPr>
        <w:t xml:space="preserve"> </w:t>
      </w:r>
      <w:r w:rsidR="00AA7E48" w:rsidRPr="00D103B2">
        <w:rPr>
          <w:rFonts w:ascii="Arial" w:hAnsi="Arial" w:cs="Arial"/>
          <w:szCs w:val="20"/>
        </w:rPr>
        <w:t>dos responsáveis indicados no quadro anexo, para apresentação de defesa e esclarecimentos que entenderem cabíveis quanto às ilegalidades identificadas nesta Representação e nos estudos técnicos que se realizarem;</w:t>
      </w:r>
    </w:p>
    <w:p w:rsidR="00AA7E48" w:rsidRDefault="00AA7E48" w:rsidP="009D4865">
      <w:pPr>
        <w:pStyle w:val="PargrafodaLista"/>
        <w:numPr>
          <w:ilvl w:val="0"/>
          <w:numId w:val="10"/>
        </w:numPr>
        <w:tabs>
          <w:tab w:val="left" w:pos="1418"/>
        </w:tabs>
        <w:spacing w:after="200" w:line="360" w:lineRule="auto"/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lastRenderedPageBreak/>
        <w:t>aplicação</w:t>
      </w:r>
      <w:proofErr w:type="gramEnd"/>
      <w:r>
        <w:rPr>
          <w:rFonts w:ascii="Arial" w:hAnsi="Arial" w:cs="Arial"/>
          <w:szCs w:val="20"/>
        </w:rPr>
        <w:t xml:space="preserve"> das sanções legais previstas nos artigos 83 e 94 da Lei Complementar nº 102, de 2008, quais sejam</w:t>
      </w:r>
      <w:r w:rsidR="00D103B2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multa, inabilitação para o exercício de cargo em comissão ou função de confiança, declaração de inidoneidade para licitar e contratar com o poder público e ressarcimento ao erário pelos prejuízos apurados.</w:t>
      </w:r>
    </w:p>
    <w:p w:rsidR="003F614F" w:rsidRDefault="003F614F" w:rsidP="003F614F">
      <w:pPr>
        <w:tabs>
          <w:tab w:val="left" w:pos="1418"/>
          <w:tab w:val="left" w:pos="9356"/>
        </w:tabs>
        <w:spacing w:after="200"/>
        <w:ind w:left="567"/>
        <w:jc w:val="center"/>
        <w:rPr>
          <w:rFonts w:ascii="Arial" w:hAnsi="Arial" w:cs="Arial"/>
          <w:szCs w:val="20"/>
        </w:rPr>
      </w:pPr>
    </w:p>
    <w:p w:rsidR="003F614F" w:rsidRPr="00B342CC" w:rsidRDefault="003F614F" w:rsidP="003F614F">
      <w:pPr>
        <w:tabs>
          <w:tab w:val="left" w:pos="1418"/>
          <w:tab w:val="left" w:pos="9356"/>
        </w:tabs>
        <w:spacing w:after="200"/>
        <w:ind w:left="567"/>
        <w:jc w:val="center"/>
        <w:rPr>
          <w:rFonts w:ascii="Arial" w:hAnsi="Arial" w:cs="Arial"/>
          <w:szCs w:val="20"/>
        </w:rPr>
      </w:pPr>
      <w:r w:rsidRPr="00B342CC">
        <w:rPr>
          <w:rFonts w:ascii="Arial" w:hAnsi="Arial" w:cs="Arial"/>
          <w:szCs w:val="20"/>
        </w:rPr>
        <w:t>Belo Horizonte,</w:t>
      </w:r>
      <w:r>
        <w:rPr>
          <w:rFonts w:ascii="Arial" w:hAnsi="Arial" w:cs="Arial"/>
          <w:szCs w:val="20"/>
        </w:rPr>
        <w:t xml:space="preserve"> </w:t>
      </w:r>
      <w:r w:rsidR="00D103B2">
        <w:rPr>
          <w:rFonts w:ascii="Arial" w:hAnsi="Arial" w:cs="Arial"/>
          <w:szCs w:val="20"/>
        </w:rPr>
        <w:t>07</w:t>
      </w:r>
      <w:r w:rsidR="009B7ADD">
        <w:rPr>
          <w:rFonts w:ascii="Arial" w:hAnsi="Arial" w:cs="Arial"/>
          <w:szCs w:val="20"/>
        </w:rPr>
        <w:t xml:space="preserve"> de </w:t>
      </w:r>
      <w:r w:rsidR="00D103B2">
        <w:rPr>
          <w:rFonts w:ascii="Arial" w:hAnsi="Arial" w:cs="Arial"/>
          <w:szCs w:val="20"/>
        </w:rPr>
        <w:t xml:space="preserve">abril </w:t>
      </w:r>
      <w:r w:rsidR="009B7ADD">
        <w:rPr>
          <w:rFonts w:ascii="Arial" w:hAnsi="Arial" w:cs="Arial"/>
          <w:szCs w:val="20"/>
        </w:rPr>
        <w:t>de 2016</w:t>
      </w:r>
      <w:r w:rsidRPr="00B342CC">
        <w:rPr>
          <w:rFonts w:ascii="Arial" w:hAnsi="Arial" w:cs="Arial"/>
          <w:szCs w:val="20"/>
        </w:rPr>
        <w:t>.</w:t>
      </w:r>
    </w:p>
    <w:p w:rsidR="003F614F" w:rsidRDefault="003F614F" w:rsidP="003F614F">
      <w:pPr>
        <w:jc w:val="center"/>
        <w:rPr>
          <w:rFonts w:ascii="Arial" w:hAnsi="Arial" w:cs="Arial"/>
          <w:b/>
        </w:rPr>
      </w:pPr>
    </w:p>
    <w:p w:rsidR="003F614F" w:rsidRDefault="003F614F" w:rsidP="003F614F">
      <w:pPr>
        <w:jc w:val="center"/>
        <w:rPr>
          <w:rFonts w:ascii="Arial" w:hAnsi="Arial" w:cs="Arial"/>
          <w:b/>
        </w:rPr>
      </w:pPr>
    </w:p>
    <w:p w:rsidR="003F614F" w:rsidRDefault="003F614F" w:rsidP="003F614F">
      <w:pPr>
        <w:jc w:val="center"/>
        <w:rPr>
          <w:rFonts w:ascii="Arial" w:hAnsi="Arial" w:cs="Arial"/>
          <w:b/>
        </w:rPr>
      </w:pPr>
    </w:p>
    <w:p w:rsidR="003F614F" w:rsidRPr="0074786B" w:rsidRDefault="003F614F" w:rsidP="003F614F">
      <w:pPr>
        <w:jc w:val="center"/>
        <w:rPr>
          <w:rFonts w:ascii="Arial" w:hAnsi="Arial" w:cs="Arial"/>
          <w:b/>
        </w:rPr>
      </w:pPr>
      <w:r w:rsidRPr="0074786B">
        <w:rPr>
          <w:rFonts w:ascii="Arial" w:hAnsi="Arial" w:cs="Arial"/>
          <w:b/>
        </w:rPr>
        <w:t xml:space="preserve">Sara </w:t>
      </w:r>
      <w:proofErr w:type="spellStart"/>
      <w:r w:rsidRPr="0074786B">
        <w:rPr>
          <w:rFonts w:ascii="Arial" w:hAnsi="Arial" w:cs="Arial"/>
          <w:b/>
        </w:rPr>
        <w:t>Meinberg</w:t>
      </w:r>
      <w:proofErr w:type="spellEnd"/>
    </w:p>
    <w:p w:rsidR="003F614F" w:rsidRDefault="003F614F" w:rsidP="003F614F">
      <w:pPr>
        <w:jc w:val="center"/>
        <w:rPr>
          <w:rFonts w:ascii="Arial" w:hAnsi="Arial" w:cs="Arial"/>
          <w:sz w:val="18"/>
          <w:szCs w:val="18"/>
        </w:rPr>
      </w:pPr>
      <w:r w:rsidRPr="00396599">
        <w:rPr>
          <w:rFonts w:ascii="Arial" w:hAnsi="Arial" w:cs="Arial"/>
          <w:sz w:val="18"/>
          <w:szCs w:val="18"/>
        </w:rPr>
        <w:t>Procuradora do Ministério Público de Contas</w:t>
      </w:r>
    </w:p>
    <w:p w:rsidR="00262A2C" w:rsidRPr="00F05751" w:rsidRDefault="00262A2C" w:rsidP="00F05751">
      <w:pPr>
        <w:rPr>
          <w:szCs w:val="22"/>
        </w:rPr>
      </w:pPr>
    </w:p>
    <w:sectPr w:rsidR="00262A2C" w:rsidRPr="00F05751" w:rsidSect="00EE7982">
      <w:headerReference w:type="default" r:id="rId8"/>
      <w:footerReference w:type="default" r:id="rId9"/>
      <w:pgSz w:w="11906" w:h="16838" w:code="9"/>
      <w:pgMar w:top="782" w:right="1701" w:bottom="1134" w:left="1134" w:header="680" w:footer="680" w:gutter="0"/>
      <w:pgNumType w:start="48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4DD" w:rsidRDefault="00FB14DD" w:rsidP="00995224">
      <w:r>
        <w:separator/>
      </w:r>
    </w:p>
  </w:endnote>
  <w:endnote w:type="continuationSeparator" w:id="0">
    <w:p w:rsidR="00FB14DD" w:rsidRDefault="00FB14DD" w:rsidP="00995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FFFF" w:usb2="FFC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2B0" w:rsidRPr="007A78ED" w:rsidRDefault="00E642B0" w:rsidP="004F6959">
    <w:pPr>
      <w:pStyle w:val="Rodap"/>
      <w:tabs>
        <w:tab w:val="clear" w:pos="4252"/>
        <w:tab w:val="clear" w:pos="8504"/>
        <w:tab w:val="center" w:pos="4535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4DD" w:rsidRDefault="00FB14DD" w:rsidP="00995224">
      <w:r>
        <w:separator/>
      </w:r>
    </w:p>
  </w:footnote>
  <w:footnote w:type="continuationSeparator" w:id="0">
    <w:p w:rsidR="00FB14DD" w:rsidRDefault="00FB14DD" w:rsidP="00995224">
      <w:r>
        <w:continuationSeparator/>
      </w:r>
    </w:p>
  </w:footnote>
  <w:footnote w:id="1">
    <w:p w:rsidR="00E642B0" w:rsidRPr="00116E39" w:rsidRDefault="00E642B0" w:rsidP="007E494F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A32733">
        <w:rPr>
          <w:rStyle w:val="Refdenotaderodap"/>
          <w:rFonts w:ascii="Arial" w:hAnsi="Arial" w:cs="Arial"/>
        </w:rPr>
        <w:footnoteRef/>
      </w:r>
      <w:r w:rsidRPr="00A32733">
        <w:rPr>
          <w:rFonts w:ascii="Arial" w:hAnsi="Arial" w:cs="Arial"/>
        </w:rPr>
        <w:t xml:space="preserve"> Dispensas de Licitação nº 016/2011, 035/2011, 048/2011, 048/2012, 067/2012, 004/2013, 007/2013, 009/2013, 010/2013, 033/2013, 034/2013, 035/2013, 004/2014, 005/2014, 017/2014, 031/2014, 032/2014, 033/2014, 005/2015, 006/2015, 007/2015, 013/2015, 014/2015 e 016/2015.</w:t>
      </w:r>
    </w:p>
  </w:footnote>
  <w:footnote w:id="2">
    <w:p w:rsidR="00E642B0" w:rsidRPr="008F085D" w:rsidRDefault="00E642B0" w:rsidP="008F085D">
      <w:pPr>
        <w:pStyle w:val="Textodenotaderodap"/>
        <w:jc w:val="both"/>
        <w:rPr>
          <w:rFonts w:ascii="Arial" w:hAnsi="Arial" w:cs="Arial"/>
        </w:rPr>
      </w:pPr>
      <w:r w:rsidRPr="008F085D">
        <w:rPr>
          <w:rStyle w:val="Refdenotaderodap"/>
          <w:rFonts w:ascii="Arial" w:hAnsi="Arial" w:cs="Arial"/>
        </w:rPr>
        <w:footnoteRef/>
      </w:r>
      <w:r w:rsidRPr="008F08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Denúncia nº 858.044, à qual estão apensados os Processos nº 862.756, 862.975, 862.981, 872.254, 942.041, 944.637, 951.256, 944.705 e 959.058.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1" w:type="dxa"/>
      <w:tblLayout w:type="fixed"/>
      <w:tblCellMar>
        <w:left w:w="70" w:type="dxa"/>
        <w:right w:w="70" w:type="dxa"/>
      </w:tblCellMar>
      <w:tblLook w:val="0000"/>
    </w:tblPr>
    <w:tblGrid>
      <w:gridCol w:w="7870"/>
      <w:gridCol w:w="1341"/>
    </w:tblGrid>
    <w:tr w:rsidR="00E642B0" w:rsidTr="004F6959">
      <w:trPr>
        <w:trHeight w:val="852"/>
      </w:trPr>
      <w:tc>
        <w:tcPr>
          <w:tcW w:w="7870" w:type="dxa"/>
        </w:tcPr>
        <w:p w:rsidR="00E642B0" w:rsidRDefault="00E642B0">
          <w:pPr>
            <w:pStyle w:val="Cabealho"/>
            <w:rPr>
              <w:sz w:val="16"/>
            </w:rPr>
          </w:pPr>
          <w:r>
            <w:t xml:space="preserve">                                                     </w:t>
          </w:r>
          <w:r w:rsidRPr="00954ED0">
            <w:rPr>
              <w:noProof/>
            </w:rPr>
            <w:drawing>
              <wp:inline distT="0" distB="0" distL="0" distR="0">
                <wp:extent cx="758825" cy="724535"/>
                <wp:effectExtent l="19050" t="0" r="317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1" w:type="dxa"/>
        </w:tcPr>
        <w:p w:rsidR="00E642B0" w:rsidRDefault="00E642B0">
          <w:pPr>
            <w:jc w:val="center"/>
            <w:rPr>
              <w:sz w:val="16"/>
            </w:rPr>
          </w:pPr>
        </w:p>
        <w:p w:rsidR="00E642B0" w:rsidRDefault="00E642B0" w:rsidP="004F6959">
          <w:pPr>
            <w:pStyle w:val="Cabealho"/>
            <w:jc w:val="center"/>
            <w:rPr>
              <w:sz w:val="16"/>
            </w:rPr>
          </w:pPr>
        </w:p>
      </w:tc>
    </w:tr>
    <w:tr w:rsidR="00E642B0" w:rsidTr="004F6959">
      <w:tc>
        <w:tcPr>
          <w:tcW w:w="9211" w:type="dxa"/>
          <w:gridSpan w:val="2"/>
        </w:tcPr>
        <w:p w:rsidR="00E642B0" w:rsidRDefault="00E642B0" w:rsidP="004F6959">
          <w:pPr>
            <w:pStyle w:val="Cabealho"/>
            <w:spacing w:before="12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MINISTÉRIO PÚBLICO DE CONTAS DO ESTADO DE MINAS GERAIS</w:t>
          </w:r>
        </w:p>
        <w:p w:rsidR="00E642B0" w:rsidRDefault="00E642B0" w:rsidP="004F6959">
          <w:pPr>
            <w:pStyle w:val="Cabealho"/>
            <w:spacing w:before="120"/>
            <w:jc w:val="center"/>
            <w:rPr>
              <w:sz w:val="16"/>
            </w:rPr>
          </w:pPr>
          <w:r>
            <w:rPr>
              <w:b/>
              <w:sz w:val="20"/>
            </w:rPr>
            <w:t xml:space="preserve">Gabinete da Procuradora Sara </w:t>
          </w:r>
          <w:proofErr w:type="spellStart"/>
          <w:r>
            <w:rPr>
              <w:b/>
              <w:sz w:val="20"/>
            </w:rPr>
            <w:t>Meinberg</w:t>
          </w:r>
          <w:proofErr w:type="spellEnd"/>
        </w:p>
      </w:tc>
    </w:tr>
  </w:tbl>
  <w:p w:rsidR="00E642B0" w:rsidRDefault="00E642B0">
    <w:pPr>
      <w:pStyle w:val="Cabealho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C03920"/>
    <w:name w:val="WW8Num34"/>
    <w:lvl w:ilvl="0">
      <w:start w:val="1"/>
      <w:numFmt w:val="decimal"/>
      <w:lvlText w:val="%1."/>
      <w:lvlJc w:val="left"/>
      <w:pPr>
        <w:tabs>
          <w:tab w:val="num" w:pos="2808"/>
        </w:tabs>
        <w:ind w:left="2808" w:hanging="397"/>
      </w:pPr>
      <w:rPr>
        <w:b w:val="0"/>
        <w:i w:val="0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346F52"/>
    <w:multiLevelType w:val="hybridMultilevel"/>
    <w:tmpl w:val="8A86DDF8"/>
    <w:lvl w:ilvl="0" w:tplc="141236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4DD3FFF"/>
    <w:multiLevelType w:val="hybridMultilevel"/>
    <w:tmpl w:val="8FC4CF32"/>
    <w:lvl w:ilvl="0" w:tplc="8238415A">
      <w:start w:val="1"/>
      <w:numFmt w:val="lowerLetter"/>
      <w:lvlText w:val="%1)"/>
      <w:lvlJc w:val="left"/>
      <w:pPr>
        <w:ind w:left="2345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0E783813"/>
    <w:multiLevelType w:val="hybridMultilevel"/>
    <w:tmpl w:val="EDEE5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B498A"/>
    <w:multiLevelType w:val="hybridMultilevel"/>
    <w:tmpl w:val="7DA0DF3E"/>
    <w:lvl w:ilvl="0" w:tplc="E7042E28">
      <w:start w:val="1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26878"/>
    <w:multiLevelType w:val="multilevel"/>
    <w:tmpl w:val="44F4954E"/>
    <w:lvl w:ilvl="0">
      <w:start w:val="1"/>
      <w:numFmt w:val="lowerLetter"/>
      <w:lvlText w:val="%1)"/>
      <w:lvlJc w:val="left"/>
      <w:pPr>
        <w:tabs>
          <w:tab w:val="num" w:pos="965"/>
        </w:tabs>
        <w:ind w:left="965" w:hanging="397"/>
      </w:pPr>
      <w:rPr>
        <w:b w:val="0"/>
        <w:i w:val="0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6117"/>
        </w:tabs>
        <w:ind w:left="6117" w:hanging="360"/>
      </w:pPr>
    </w:lvl>
    <w:lvl w:ilvl="2">
      <w:start w:val="1"/>
      <w:numFmt w:val="lowerRoman"/>
      <w:lvlText w:val="%3."/>
      <w:lvlJc w:val="right"/>
      <w:pPr>
        <w:tabs>
          <w:tab w:val="num" w:pos="6837"/>
        </w:tabs>
        <w:ind w:left="6837" w:hanging="180"/>
      </w:pPr>
    </w:lvl>
    <w:lvl w:ilvl="3">
      <w:start w:val="1"/>
      <w:numFmt w:val="decimal"/>
      <w:lvlText w:val="%4."/>
      <w:lvlJc w:val="left"/>
      <w:pPr>
        <w:tabs>
          <w:tab w:val="num" w:pos="7557"/>
        </w:tabs>
        <w:ind w:left="7557" w:hanging="360"/>
      </w:pPr>
    </w:lvl>
    <w:lvl w:ilvl="4">
      <w:start w:val="1"/>
      <w:numFmt w:val="lowerLetter"/>
      <w:lvlText w:val="%5."/>
      <w:lvlJc w:val="left"/>
      <w:pPr>
        <w:tabs>
          <w:tab w:val="num" w:pos="8277"/>
        </w:tabs>
        <w:ind w:left="8277" w:hanging="360"/>
      </w:pPr>
    </w:lvl>
    <w:lvl w:ilvl="5">
      <w:start w:val="1"/>
      <w:numFmt w:val="lowerRoman"/>
      <w:lvlText w:val="%6."/>
      <w:lvlJc w:val="right"/>
      <w:pPr>
        <w:tabs>
          <w:tab w:val="num" w:pos="8997"/>
        </w:tabs>
        <w:ind w:left="8997" w:hanging="180"/>
      </w:pPr>
    </w:lvl>
    <w:lvl w:ilvl="6">
      <w:start w:val="1"/>
      <w:numFmt w:val="decimal"/>
      <w:lvlText w:val="%7."/>
      <w:lvlJc w:val="left"/>
      <w:pPr>
        <w:tabs>
          <w:tab w:val="num" w:pos="9717"/>
        </w:tabs>
        <w:ind w:left="9717" w:hanging="360"/>
      </w:pPr>
    </w:lvl>
    <w:lvl w:ilvl="7">
      <w:start w:val="1"/>
      <w:numFmt w:val="lowerLetter"/>
      <w:lvlText w:val="%8."/>
      <w:lvlJc w:val="left"/>
      <w:pPr>
        <w:tabs>
          <w:tab w:val="num" w:pos="10437"/>
        </w:tabs>
        <w:ind w:left="10437" w:hanging="360"/>
      </w:pPr>
    </w:lvl>
    <w:lvl w:ilvl="8">
      <w:start w:val="1"/>
      <w:numFmt w:val="lowerRoman"/>
      <w:lvlText w:val="%9."/>
      <w:lvlJc w:val="right"/>
      <w:pPr>
        <w:tabs>
          <w:tab w:val="num" w:pos="11157"/>
        </w:tabs>
        <w:ind w:left="11157" w:hanging="180"/>
      </w:pPr>
    </w:lvl>
  </w:abstractNum>
  <w:abstractNum w:abstractNumId="6">
    <w:nsid w:val="3EA3264F"/>
    <w:multiLevelType w:val="hybridMultilevel"/>
    <w:tmpl w:val="CDFCCE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E6217"/>
    <w:multiLevelType w:val="hybridMultilevel"/>
    <w:tmpl w:val="152EC3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17E04"/>
    <w:multiLevelType w:val="hybridMultilevel"/>
    <w:tmpl w:val="35067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D19FC"/>
    <w:multiLevelType w:val="hybridMultilevel"/>
    <w:tmpl w:val="76BEE392"/>
    <w:lvl w:ilvl="0" w:tplc="CD08524E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ascii="Arial" w:hAnsi="Arial" w:cs="Arial" w:hint="default"/>
        <w:b/>
        <w:i w:val="0"/>
        <w:strike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95224"/>
    <w:rsid w:val="0001670F"/>
    <w:rsid w:val="000262FB"/>
    <w:rsid w:val="00031206"/>
    <w:rsid w:val="0003732A"/>
    <w:rsid w:val="00042BF8"/>
    <w:rsid w:val="00086CA9"/>
    <w:rsid w:val="00094AE0"/>
    <w:rsid w:val="000B6601"/>
    <w:rsid w:val="000D3CF5"/>
    <w:rsid w:val="000F67B5"/>
    <w:rsid w:val="000F7786"/>
    <w:rsid w:val="00116E39"/>
    <w:rsid w:val="00123F92"/>
    <w:rsid w:val="00142062"/>
    <w:rsid w:val="0016259F"/>
    <w:rsid w:val="0016282F"/>
    <w:rsid w:val="0016359C"/>
    <w:rsid w:val="00172482"/>
    <w:rsid w:val="0017258B"/>
    <w:rsid w:val="00187431"/>
    <w:rsid w:val="001918CA"/>
    <w:rsid w:val="00191D96"/>
    <w:rsid w:val="001A5B1C"/>
    <w:rsid w:val="001B1A4E"/>
    <w:rsid w:val="001C03F6"/>
    <w:rsid w:val="001C0A1C"/>
    <w:rsid w:val="001D2F30"/>
    <w:rsid w:val="001D37BE"/>
    <w:rsid w:val="001D7A66"/>
    <w:rsid w:val="001E7D2D"/>
    <w:rsid w:val="001F0E2F"/>
    <w:rsid w:val="001F3AD9"/>
    <w:rsid w:val="002029C2"/>
    <w:rsid w:val="0020317C"/>
    <w:rsid w:val="00246083"/>
    <w:rsid w:val="00262A2C"/>
    <w:rsid w:val="002752FC"/>
    <w:rsid w:val="00282B49"/>
    <w:rsid w:val="00285A3B"/>
    <w:rsid w:val="002938AF"/>
    <w:rsid w:val="002C1591"/>
    <w:rsid w:val="002D217E"/>
    <w:rsid w:val="00310D0B"/>
    <w:rsid w:val="003305DA"/>
    <w:rsid w:val="0033765D"/>
    <w:rsid w:val="0034601D"/>
    <w:rsid w:val="00347394"/>
    <w:rsid w:val="00350587"/>
    <w:rsid w:val="00373530"/>
    <w:rsid w:val="00380DBF"/>
    <w:rsid w:val="00382051"/>
    <w:rsid w:val="00383846"/>
    <w:rsid w:val="0038459B"/>
    <w:rsid w:val="00395705"/>
    <w:rsid w:val="003A7023"/>
    <w:rsid w:val="003C1062"/>
    <w:rsid w:val="003C4233"/>
    <w:rsid w:val="003C7A1F"/>
    <w:rsid w:val="003D027A"/>
    <w:rsid w:val="003D094E"/>
    <w:rsid w:val="003D6645"/>
    <w:rsid w:val="003D7E92"/>
    <w:rsid w:val="003E0439"/>
    <w:rsid w:val="003F614F"/>
    <w:rsid w:val="0040430D"/>
    <w:rsid w:val="0041194F"/>
    <w:rsid w:val="00412079"/>
    <w:rsid w:val="00414AC4"/>
    <w:rsid w:val="00452CCF"/>
    <w:rsid w:val="004604C3"/>
    <w:rsid w:val="00462539"/>
    <w:rsid w:val="00483848"/>
    <w:rsid w:val="004854A0"/>
    <w:rsid w:val="00485BBC"/>
    <w:rsid w:val="004A38DC"/>
    <w:rsid w:val="004C027B"/>
    <w:rsid w:val="004C2F66"/>
    <w:rsid w:val="004C5CA0"/>
    <w:rsid w:val="004C6DA8"/>
    <w:rsid w:val="004D4CC6"/>
    <w:rsid w:val="004E3AE1"/>
    <w:rsid w:val="004E3E45"/>
    <w:rsid w:val="004F1609"/>
    <w:rsid w:val="004F6959"/>
    <w:rsid w:val="00500653"/>
    <w:rsid w:val="00503A5E"/>
    <w:rsid w:val="00505461"/>
    <w:rsid w:val="005113CF"/>
    <w:rsid w:val="005121F2"/>
    <w:rsid w:val="0053513E"/>
    <w:rsid w:val="005410F4"/>
    <w:rsid w:val="00551E65"/>
    <w:rsid w:val="00565868"/>
    <w:rsid w:val="0057756E"/>
    <w:rsid w:val="0059508E"/>
    <w:rsid w:val="005A3103"/>
    <w:rsid w:val="005A5842"/>
    <w:rsid w:val="005B191F"/>
    <w:rsid w:val="005B4CC8"/>
    <w:rsid w:val="005B61A4"/>
    <w:rsid w:val="005C26C3"/>
    <w:rsid w:val="005C614E"/>
    <w:rsid w:val="005E1C05"/>
    <w:rsid w:val="005E5FBD"/>
    <w:rsid w:val="006034FA"/>
    <w:rsid w:val="00627A18"/>
    <w:rsid w:val="00631812"/>
    <w:rsid w:val="006341A2"/>
    <w:rsid w:val="00640CAB"/>
    <w:rsid w:val="00643D9F"/>
    <w:rsid w:val="0066278E"/>
    <w:rsid w:val="00675871"/>
    <w:rsid w:val="00694638"/>
    <w:rsid w:val="006A4536"/>
    <w:rsid w:val="006A61E1"/>
    <w:rsid w:val="006C7B48"/>
    <w:rsid w:val="006D2446"/>
    <w:rsid w:val="006F1061"/>
    <w:rsid w:val="006F12C9"/>
    <w:rsid w:val="006F316E"/>
    <w:rsid w:val="007026DE"/>
    <w:rsid w:val="00706D43"/>
    <w:rsid w:val="007103E6"/>
    <w:rsid w:val="00716712"/>
    <w:rsid w:val="00720563"/>
    <w:rsid w:val="00736261"/>
    <w:rsid w:val="00743FC7"/>
    <w:rsid w:val="007A1454"/>
    <w:rsid w:val="007B1DA8"/>
    <w:rsid w:val="007B3379"/>
    <w:rsid w:val="007C5706"/>
    <w:rsid w:val="007D0E1D"/>
    <w:rsid w:val="007E494F"/>
    <w:rsid w:val="007F024D"/>
    <w:rsid w:val="00806D6C"/>
    <w:rsid w:val="00811AF1"/>
    <w:rsid w:val="0083559E"/>
    <w:rsid w:val="00835C13"/>
    <w:rsid w:val="00855373"/>
    <w:rsid w:val="00857942"/>
    <w:rsid w:val="008664FF"/>
    <w:rsid w:val="00895766"/>
    <w:rsid w:val="008A50EB"/>
    <w:rsid w:val="008B11F5"/>
    <w:rsid w:val="008E58B4"/>
    <w:rsid w:val="008F085D"/>
    <w:rsid w:val="008F326D"/>
    <w:rsid w:val="00913DCE"/>
    <w:rsid w:val="009328BB"/>
    <w:rsid w:val="00937ABA"/>
    <w:rsid w:val="0095079E"/>
    <w:rsid w:val="00956F03"/>
    <w:rsid w:val="00995224"/>
    <w:rsid w:val="009967A5"/>
    <w:rsid w:val="00996ACF"/>
    <w:rsid w:val="009975F1"/>
    <w:rsid w:val="009B4942"/>
    <w:rsid w:val="009B7ADD"/>
    <w:rsid w:val="009B7C33"/>
    <w:rsid w:val="009D1432"/>
    <w:rsid w:val="009D4865"/>
    <w:rsid w:val="009F3909"/>
    <w:rsid w:val="00A30E97"/>
    <w:rsid w:val="00A32733"/>
    <w:rsid w:val="00A34D01"/>
    <w:rsid w:val="00A37F70"/>
    <w:rsid w:val="00A41010"/>
    <w:rsid w:val="00A72245"/>
    <w:rsid w:val="00A74A37"/>
    <w:rsid w:val="00AA4EE9"/>
    <w:rsid w:val="00AA7E48"/>
    <w:rsid w:val="00AC36B0"/>
    <w:rsid w:val="00AC424B"/>
    <w:rsid w:val="00AC4281"/>
    <w:rsid w:val="00AD2E98"/>
    <w:rsid w:val="00AD6860"/>
    <w:rsid w:val="00AE17C4"/>
    <w:rsid w:val="00AE401C"/>
    <w:rsid w:val="00AF1C25"/>
    <w:rsid w:val="00AF2858"/>
    <w:rsid w:val="00B07259"/>
    <w:rsid w:val="00B34338"/>
    <w:rsid w:val="00B412EB"/>
    <w:rsid w:val="00B46E79"/>
    <w:rsid w:val="00B72C1E"/>
    <w:rsid w:val="00B83052"/>
    <w:rsid w:val="00BB0060"/>
    <w:rsid w:val="00BC50EE"/>
    <w:rsid w:val="00BC7D33"/>
    <w:rsid w:val="00BD173F"/>
    <w:rsid w:val="00BF2298"/>
    <w:rsid w:val="00BF4E54"/>
    <w:rsid w:val="00C07747"/>
    <w:rsid w:val="00C07ACE"/>
    <w:rsid w:val="00C15B04"/>
    <w:rsid w:val="00C20B8D"/>
    <w:rsid w:val="00C34F3A"/>
    <w:rsid w:val="00C352DE"/>
    <w:rsid w:val="00C4126E"/>
    <w:rsid w:val="00C527D6"/>
    <w:rsid w:val="00C61850"/>
    <w:rsid w:val="00C66E19"/>
    <w:rsid w:val="00C75AAC"/>
    <w:rsid w:val="00C86C06"/>
    <w:rsid w:val="00CA458F"/>
    <w:rsid w:val="00CA5B35"/>
    <w:rsid w:val="00CB20F5"/>
    <w:rsid w:val="00CC22E4"/>
    <w:rsid w:val="00CD0E43"/>
    <w:rsid w:val="00CD42FB"/>
    <w:rsid w:val="00CD55DB"/>
    <w:rsid w:val="00CE598B"/>
    <w:rsid w:val="00CF2F5B"/>
    <w:rsid w:val="00D02BEC"/>
    <w:rsid w:val="00D103B2"/>
    <w:rsid w:val="00D22538"/>
    <w:rsid w:val="00D27AC0"/>
    <w:rsid w:val="00D41A64"/>
    <w:rsid w:val="00D432C6"/>
    <w:rsid w:val="00D52A48"/>
    <w:rsid w:val="00D57CE9"/>
    <w:rsid w:val="00D6062A"/>
    <w:rsid w:val="00D61672"/>
    <w:rsid w:val="00D63D7F"/>
    <w:rsid w:val="00D709FA"/>
    <w:rsid w:val="00D72479"/>
    <w:rsid w:val="00D86AAD"/>
    <w:rsid w:val="00D90DDF"/>
    <w:rsid w:val="00D94AF1"/>
    <w:rsid w:val="00DA3E63"/>
    <w:rsid w:val="00DD00A6"/>
    <w:rsid w:val="00DF0467"/>
    <w:rsid w:val="00E07590"/>
    <w:rsid w:val="00E46993"/>
    <w:rsid w:val="00E61848"/>
    <w:rsid w:val="00E642B0"/>
    <w:rsid w:val="00E65480"/>
    <w:rsid w:val="00E65CEC"/>
    <w:rsid w:val="00E96B0B"/>
    <w:rsid w:val="00EA4A01"/>
    <w:rsid w:val="00EC089D"/>
    <w:rsid w:val="00EC68E0"/>
    <w:rsid w:val="00ED2F85"/>
    <w:rsid w:val="00ED3DDE"/>
    <w:rsid w:val="00EE7982"/>
    <w:rsid w:val="00EE7FEE"/>
    <w:rsid w:val="00EF107A"/>
    <w:rsid w:val="00F0198C"/>
    <w:rsid w:val="00F03520"/>
    <w:rsid w:val="00F05751"/>
    <w:rsid w:val="00F161DF"/>
    <w:rsid w:val="00F248C1"/>
    <w:rsid w:val="00F7155F"/>
    <w:rsid w:val="00F7231F"/>
    <w:rsid w:val="00F75834"/>
    <w:rsid w:val="00F83D88"/>
    <w:rsid w:val="00FB14DD"/>
    <w:rsid w:val="00FB5419"/>
    <w:rsid w:val="00FB715F"/>
    <w:rsid w:val="00FC1A11"/>
    <w:rsid w:val="00FD072E"/>
    <w:rsid w:val="00FD08B0"/>
    <w:rsid w:val="00FE1209"/>
    <w:rsid w:val="00FF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2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258B"/>
    <w:pPr>
      <w:keepNext/>
      <w:jc w:val="both"/>
      <w:outlineLvl w:val="0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2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95224"/>
    <w:rPr>
      <w:rFonts w:ascii="Century Schoolbook" w:eastAsia="Times New Roman" w:hAnsi="Century Schoolbook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952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5224"/>
    <w:rPr>
      <w:rFonts w:ascii="Century Schoolbook" w:eastAsia="Times New Roman" w:hAnsi="Century Schoolbook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99522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9952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95224"/>
    <w:rPr>
      <w:rFonts w:ascii="Century Schoolbook" w:eastAsia="Times New Roman" w:hAnsi="Century Schoolbook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99522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2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22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D2253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C34F3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7258B"/>
    <w:rPr>
      <w:rFonts w:ascii="Arial Narrow" w:eastAsia="Times New Roman" w:hAnsi="Arial Narrow" w:cs="Times New Roman"/>
      <w:b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503A5E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503A5E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40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40CAB"/>
    <w:rPr>
      <w:b/>
      <w:bCs/>
    </w:rPr>
  </w:style>
  <w:style w:type="character" w:customStyle="1" w:styleId="apple-converted-space">
    <w:name w:val="apple-converted-space"/>
    <w:basedOn w:val="Fontepargpadro"/>
    <w:rsid w:val="003F614F"/>
  </w:style>
  <w:style w:type="paragraph" w:customStyle="1" w:styleId="western">
    <w:name w:val="western"/>
    <w:basedOn w:val="Normal"/>
    <w:rsid w:val="003F614F"/>
    <w:pPr>
      <w:spacing w:before="200" w:after="200" w:line="240" w:lineRule="atLeast"/>
    </w:pPr>
    <w:rPr>
      <w:rFonts w:ascii="Times New Roman" w:hAnsi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0308-FEDC-4A85-9818-5177D0C1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2088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mbalves</dc:creator>
  <cp:lastModifiedBy>helbert.silva</cp:lastModifiedBy>
  <cp:revision>2</cp:revision>
  <cp:lastPrinted>2016-04-07T14:27:00Z</cp:lastPrinted>
  <dcterms:created xsi:type="dcterms:W3CDTF">2016-05-31T18:09:00Z</dcterms:created>
  <dcterms:modified xsi:type="dcterms:W3CDTF">2016-05-31T18:09:00Z</dcterms:modified>
</cp:coreProperties>
</file>