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1" w:type="dxa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7741"/>
      </w:tblGrid>
      <w:tr w:rsidR="00275FAA" w:rsidRPr="00F10B7C" w:rsidTr="00A60A9A">
        <w:tc>
          <w:tcPr>
            <w:tcW w:w="2160" w:type="dxa"/>
          </w:tcPr>
          <w:p w:rsidR="00275FAA" w:rsidRPr="00F10B7C" w:rsidRDefault="00275FAA" w:rsidP="00A60A9A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F10B7C">
              <w:rPr>
                <w:rFonts w:ascii="Arial" w:hAnsi="Arial" w:cs="Arial"/>
                <w:b/>
                <w:sz w:val="23"/>
                <w:szCs w:val="23"/>
              </w:rPr>
              <w:t>Processo nº:</w:t>
            </w:r>
          </w:p>
        </w:tc>
        <w:tc>
          <w:tcPr>
            <w:tcW w:w="7741" w:type="dxa"/>
          </w:tcPr>
          <w:p w:rsidR="00275FAA" w:rsidRPr="00F10B7C" w:rsidRDefault="00275FAA" w:rsidP="00A60A9A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944.815</w:t>
            </w:r>
          </w:p>
        </w:tc>
      </w:tr>
      <w:tr w:rsidR="00275FAA" w:rsidRPr="00F10B7C" w:rsidTr="00A60A9A">
        <w:tc>
          <w:tcPr>
            <w:tcW w:w="2160" w:type="dxa"/>
          </w:tcPr>
          <w:p w:rsidR="00275FAA" w:rsidRPr="00F10B7C" w:rsidRDefault="00275FAA" w:rsidP="00A60A9A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F10B7C">
              <w:rPr>
                <w:rFonts w:ascii="Arial" w:hAnsi="Arial" w:cs="Arial"/>
                <w:b/>
                <w:sz w:val="23"/>
                <w:szCs w:val="23"/>
              </w:rPr>
              <w:t>Natureza:</w:t>
            </w:r>
          </w:p>
        </w:tc>
        <w:tc>
          <w:tcPr>
            <w:tcW w:w="7741" w:type="dxa"/>
          </w:tcPr>
          <w:p w:rsidR="00275FAA" w:rsidRPr="00F10B7C" w:rsidRDefault="00275FAA" w:rsidP="00A60A9A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10B7C">
              <w:rPr>
                <w:rFonts w:ascii="Arial" w:hAnsi="Arial" w:cs="Arial"/>
                <w:sz w:val="23"/>
                <w:szCs w:val="23"/>
              </w:rPr>
              <w:t>Denúncia</w:t>
            </w:r>
          </w:p>
        </w:tc>
      </w:tr>
      <w:tr w:rsidR="00275FAA" w:rsidRPr="00F10B7C" w:rsidTr="00A60A9A">
        <w:tc>
          <w:tcPr>
            <w:tcW w:w="2160" w:type="dxa"/>
          </w:tcPr>
          <w:p w:rsidR="00275FAA" w:rsidRPr="00F10B7C" w:rsidRDefault="00275FAA" w:rsidP="00A60A9A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F10B7C">
              <w:rPr>
                <w:rFonts w:ascii="Arial" w:hAnsi="Arial" w:cs="Arial"/>
                <w:b/>
                <w:sz w:val="23"/>
                <w:szCs w:val="23"/>
              </w:rPr>
              <w:t>Denunciante:</w:t>
            </w:r>
          </w:p>
        </w:tc>
        <w:tc>
          <w:tcPr>
            <w:tcW w:w="7741" w:type="dxa"/>
          </w:tcPr>
          <w:p w:rsidR="00275FAA" w:rsidRPr="00F10B7C" w:rsidRDefault="00275FAA" w:rsidP="00A60A9A">
            <w:pPr>
              <w:tabs>
                <w:tab w:val="right" w:pos="6923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Transportadora Abreu e Souza Ltda.</w:t>
            </w:r>
          </w:p>
        </w:tc>
      </w:tr>
      <w:tr w:rsidR="00275FAA" w:rsidRPr="00F10B7C" w:rsidTr="00A60A9A">
        <w:tc>
          <w:tcPr>
            <w:tcW w:w="2160" w:type="dxa"/>
          </w:tcPr>
          <w:p w:rsidR="00275FAA" w:rsidRPr="00F10B7C" w:rsidRDefault="00275FAA" w:rsidP="00A60A9A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F10B7C">
              <w:rPr>
                <w:rFonts w:ascii="Arial" w:hAnsi="Arial" w:cs="Arial"/>
                <w:b/>
                <w:sz w:val="23"/>
                <w:szCs w:val="23"/>
              </w:rPr>
              <w:t xml:space="preserve">Jurisdicionado: </w:t>
            </w:r>
          </w:p>
        </w:tc>
        <w:tc>
          <w:tcPr>
            <w:tcW w:w="7741" w:type="dxa"/>
          </w:tcPr>
          <w:p w:rsidR="00275FAA" w:rsidRPr="00F10B7C" w:rsidRDefault="00275FAA" w:rsidP="00275FAA">
            <w:pPr>
              <w:tabs>
                <w:tab w:val="right" w:pos="6923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Poder Executivo do Município de Mariana</w:t>
            </w:r>
          </w:p>
        </w:tc>
      </w:tr>
      <w:tr w:rsidR="00275FAA" w:rsidRPr="00F10B7C" w:rsidTr="00A60A9A">
        <w:tc>
          <w:tcPr>
            <w:tcW w:w="2160" w:type="dxa"/>
          </w:tcPr>
          <w:p w:rsidR="00275FAA" w:rsidRPr="00F10B7C" w:rsidRDefault="00275FAA" w:rsidP="00A60A9A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F10B7C">
              <w:rPr>
                <w:rFonts w:ascii="Arial" w:hAnsi="Arial" w:cs="Arial"/>
                <w:b/>
                <w:sz w:val="23"/>
                <w:szCs w:val="23"/>
              </w:rPr>
              <w:t xml:space="preserve">Relator:                    </w:t>
            </w:r>
          </w:p>
        </w:tc>
        <w:tc>
          <w:tcPr>
            <w:tcW w:w="7741" w:type="dxa"/>
          </w:tcPr>
          <w:p w:rsidR="00275FAA" w:rsidRPr="00F10B7C" w:rsidRDefault="00275FAA" w:rsidP="00275FAA">
            <w:pPr>
              <w:tabs>
                <w:tab w:val="right" w:pos="6923"/>
              </w:tabs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10B7C">
              <w:rPr>
                <w:rFonts w:ascii="Arial" w:hAnsi="Arial" w:cs="Arial"/>
                <w:sz w:val="23"/>
                <w:szCs w:val="23"/>
              </w:rPr>
              <w:t xml:space="preserve">Conselheiro </w:t>
            </w:r>
            <w:r>
              <w:rPr>
                <w:rFonts w:ascii="Arial" w:hAnsi="Arial" w:cs="Arial"/>
                <w:sz w:val="23"/>
                <w:szCs w:val="23"/>
              </w:rPr>
              <w:t>Cláudio Terrão</w:t>
            </w:r>
          </w:p>
        </w:tc>
      </w:tr>
    </w:tbl>
    <w:p w:rsidR="00275FAA" w:rsidRPr="00F10B7C" w:rsidRDefault="00275FAA" w:rsidP="00275FAA">
      <w:pPr>
        <w:spacing w:after="200" w:line="360" w:lineRule="auto"/>
        <w:rPr>
          <w:rFonts w:ascii="Arial" w:hAnsi="Arial" w:cs="Arial"/>
          <w:b/>
          <w:sz w:val="23"/>
          <w:szCs w:val="23"/>
          <w:u w:val="single"/>
        </w:rPr>
      </w:pPr>
    </w:p>
    <w:p w:rsidR="00275FAA" w:rsidRPr="00F10B7C" w:rsidRDefault="00275FAA" w:rsidP="00275FAA">
      <w:pPr>
        <w:spacing w:after="200"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F10B7C">
        <w:rPr>
          <w:rFonts w:ascii="Arial" w:hAnsi="Arial" w:cs="Arial"/>
          <w:b/>
          <w:sz w:val="23"/>
          <w:szCs w:val="23"/>
          <w:u w:val="single"/>
        </w:rPr>
        <w:t>MANIFESTAÇÃO PRELIMINAR</w:t>
      </w:r>
    </w:p>
    <w:p w:rsidR="00275FAA" w:rsidRPr="00F10B7C" w:rsidRDefault="00275FAA" w:rsidP="00275FAA">
      <w:pPr>
        <w:spacing w:after="200"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275FAA" w:rsidRPr="00F10B7C" w:rsidRDefault="00275FAA" w:rsidP="00275FAA">
      <w:pPr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F10B7C">
        <w:rPr>
          <w:rFonts w:ascii="Arial" w:hAnsi="Arial" w:cs="Arial"/>
          <w:sz w:val="23"/>
          <w:szCs w:val="23"/>
        </w:rPr>
        <w:t xml:space="preserve">Excelentíssimo Senhor Relator, </w:t>
      </w:r>
    </w:p>
    <w:p w:rsidR="00275FAA" w:rsidRPr="00F10B7C" w:rsidRDefault="00275FAA" w:rsidP="00275FAA">
      <w:pPr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F62BB2" w:rsidRDefault="00275FAA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A24AE3">
        <w:rPr>
          <w:rFonts w:ascii="Arial" w:hAnsi="Arial" w:cs="Arial"/>
          <w:sz w:val="23"/>
          <w:szCs w:val="23"/>
        </w:rPr>
        <w:t xml:space="preserve">Tratam os autos de denúncia formulada pela empresa </w:t>
      </w:r>
      <w:r w:rsidR="00A60A9A">
        <w:rPr>
          <w:rFonts w:ascii="Arial" w:hAnsi="Arial" w:cs="Arial"/>
          <w:sz w:val="23"/>
          <w:szCs w:val="23"/>
        </w:rPr>
        <w:t>Transportadora Abreu e Souza Ltda</w:t>
      </w:r>
      <w:r>
        <w:rPr>
          <w:rFonts w:ascii="Arial" w:hAnsi="Arial" w:cs="Arial"/>
          <w:sz w:val="23"/>
          <w:szCs w:val="23"/>
        </w:rPr>
        <w:t xml:space="preserve">. </w:t>
      </w:r>
      <w:r w:rsidRPr="00A24AE3">
        <w:rPr>
          <w:rFonts w:ascii="Arial" w:hAnsi="Arial" w:cs="Arial"/>
          <w:sz w:val="23"/>
          <w:szCs w:val="23"/>
        </w:rPr>
        <w:t>em face de supostas irreg</w:t>
      </w:r>
      <w:r w:rsidR="00A60A9A">
        <w:rPr>
          <w:rFonts w:ascii="Arial" w:hAnsi="Arial" w:cs="Arial"/>
          <w:sz w:val="23"/>
          <w:szCs w:val="23"/>
        </w:rPr>
        <w:t>ularidades contidas no edital da</w:t>
      </w:r>
      <w:r w:rsidRPr="00A24AE3">
        <w:rPr>
          <w:rFonts w:ascii="Arial" w:hAnsi="Arial" w:cs="Arial"/>
          <w:sz w:val="23"/>
          <w:szCs w:val="23"/>
        </w:rPr>
        <w:t xml:space="preserve"> </w:t>
      </w:r>
      <w:r w:rsidR="00A60A9A">
        <w:rPr>
          <w:rFonts w:ascii="Arial" w:hAnsi="Arial" w:cs="Arial"/>
          <w:sz w:val="23"/>
          <w:szCs w:val="23"/>
        </w:rPr>
        <w:t xml:space="preserve">Concorrência Pública </w:t>
      </w:r>
      <w:r w:rsidRPr="00A24AE3">
        <w:rPr>
          <w:rFonts w:ascii="Arial" w:hAnsi="Arial" w:cs="Arial"/>
          <w:sz w:val="23"/>
          <w:szCs w:val="23"/>
        </w:rPr>
        <w:t xml:space="preserve">nº </w:t>
      </w:r>
      <w:r>
        <w:rPr>
          <w:rFonts w:ascii="Arial" w:hAnsi="Arial" w:cs="Arial"/>
          <w:sz w:val="23"/>
          <w:szCs w:val="23"/>
        </w:rPr>
        <w:t>01</w:t>
      </w:r>
      <w:r w:rsidR="00A60A9A">
        <w:rPr>
          <w:rFonts w:ascii="Arial" w:hAnsi="Arial" w:cs="Arial"/>
          <w:sz w:val="23"/>
          <w:szCs w:val="23"/>
        </w:rPr>
        <w:t>6</w:t>
      </w:r>
      <w:r w:rsidRPr="00A24AE3">
        <w:rPr>
          <w:rFonts w:ascii="Arial" w:hAnsi="Arial" w:cs="Arial"/>
          <w:sz w:val="23"/>
          <w:szCs w:val="23"/>
        </w:rPr>
        <w:t>/201</w:t>
      </w:r>
      <w:r>
        <w:rPr>
          <w:rFonts w:ascii="Arial" w:hAnsi="Arial" w:cs="Arial"/>
          <w:sz w:val="23"/>
          <w:szCs w:val="23"/>
        </w:rPr>
        <w:t>5</w:t>
      </w:r>
      <w:r w:rsidRPr="00A24AE3">
        <w:rPr>
          <w:rFonts w:ascii="Arial" w:hAnsi="Arial" w:cs="Arial"/>
          <w:sz w:val="23"/>
          <w:szCs w:val="23"/>
        </w:rPr>
        <w:t xml:space="preserve">, deflagrado pela Prefeitura Municipal de </w:t>
      </w:r>
      <w:r w:rsidR="00F62BB2">
        <w:rPr>
          <w:rFonts w:ascii="Arial" w:hAnsi="Arial" w:cs="Arial"/>
          <w:sz w:val="23"/>
          <w:szCs w:val="23"/>
        </w:rPr>
        <w:t>Mariana</w:t>
      </w:r>
      <w:r w:rsidRPr="00A24AE3">
        <w:rPr>
          <w:rFonts w:ascii="Arial" w:hAnsi="Arial" w:cs="Arial"/>
          <w:sz w:val="23"/>
          <w:szCs w:val="23"/>
        </w:rPr>
        <w:t xml:space="preserve">, cujo objeto consiste </w:t>
      </w:r>
      <w:r w:rsidR="00F62BB2">
        <w:rPr>
          <w:rFonts w:ascii="Arial" w:hAnsi="Arial" w:cs="Arial"/>
          <w:sz w:val="23"/>
          <w:szCs w:val="23"/>
        </w:rPr>
        <w:t>na concessão do serviço de transporte coletivo regular de passageiros.</w:t>
      </w:r>
    </w:p>
    <w:p w:rsidR="00275FAA" w:rsidRPr="00926703" w:rsidRDefault="00275FAA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926703">
        <w:rPr>
          <w:rFonts w:ascii="Arial" w:hAnsi="Arial" w:cs="Arial"/>
          <w:sz w:val="23"/>
          <w:szCs w:val="23"/>
        </w:rPr>
        <w:t xml:space="preserve">Recebida (fl. </w:t>
      </w:r>
      <w:r w:rsidR="00926703" w:rsidRPr="00926703">
        <w:rPr>
          <w:rFonts w:ascii="Arial" w:hAnsi="Arial" w:cs="Arial"/>
          <w:sz w:val="23"/>
          <w:szCs w:val="23"/>
        </w:rPr>
        <w:t>719</w:t>
      </w:r>
      <w:r w:rsidRPr="00926703">
        <w:rPr>
          <w:rFonts w:ascii="Arial" w:hAnsi="Arial" w:cs="Arial"/>
          <w:sz w:val="23"/>
          <w:szCs w:val="23"/>
        </w:rPr>
        <w:t xml:space="preserve">), a Denúncia foi distribuída à fl. </w:t>
      </w:r>
      <w:r w:rsidR="00926703" w:rsidRPr="00926703">
        <w:rPr>
          <w:rFonts w:ascii="Arial" w:hAnsi="Arial" w:cs="Arial"/>
          <w:sz w:val="23"/>
          <w:szCs w:val="23"/>
        </w:rPr>
        <w:t>720 e redistribuída à fl. 721</w:t>
      </w:r>
      <w:r w:rsidRPr="00926703">
        <w:rPr>
          <w:rFonts w:ascii="Arial" w:hAnsi="Arial" w:cs="Arial"/>
          <w:sz w:val="23"/>
          <w:szCs w:val="23"/>
        </w:rPr>
        <w:t>.</w:t>
      </w:r>
    </w:p>
    <w:p w:rsidR="00926703" w:rsidRDefault="00926703" w:rsidP="00926703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Em face do encaminhamento de fls. 722/723, a Coordenadoria de Fiscalização de Concessões e Parcerias Público-Privadas (CFCPPP) procedeu à análise preliminar das alegações (fls. 724/733).</w:t>
      </w:r>
    </w:p>
    <w:p w:rsidR="00926703" w:rsidRDefault="00926703" w:rsidP="00926703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Relator determinou a intimação do Prefeito Municipal e do Presidente da Comissão Permanente de Licitação para apresentação de esclarec</w:t>
      </w:r>
      <w:r w:rsidR="00EA1DA8">
        <w:rPr>
          <w:rFonts w:ascii="Arial" w:hAnsi="Arial" w:cs="Arial"/>
          <w:sz w:val="23"/>
          <w:szCs w:val="23"/>
        </w:rPr>
        <w:t xml:space="preserve">imentos e documentação </w:t>
      </w:r>
      <w:r w:rsidR="009940F1">
        <w:rPr>
          <w:rFonts w:ascii="Arial" w:hAnsi="Arial" w:cs="Arial"/>
          <w:sz w:val="23"/>
          <w:szCs w:val="23"/>
        </w:rPr>
        <w:t xml:space="preserve">relativa </w:t>
      </w:r>
      <w:r w:rsidR="00EA1DA8">
        <w:rPr>
          <w:rFonts w:ascii="Arial" w:hAnsi="Arial" w:cs="Arial"/>
          <w:sz w:val="23"/>
          <w:szCs w:val="23"/>
        </w:rPr>
        <w:t>ao certame (fl. 734), o que foi atendido às fls. 745/2527.</w:t>
      </w:r>
    </w:p>
    <w:p w:rsidR="00EA1DA8" w:rsidRDefault="00EA1DA8" w:rsidP="00926703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Foi acostada, ainda, a recomendação emitida pela 2ª Promotoria de Justiça da Comarca de Mariana (fls. 736/738).</w:t>
      </w:r>
    </w:p>
    <w:p w:rsidR="00275FAA" w:rsidRPr="00EA1DA8" w:rsidRDefault="00EA1DA8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EA1DA8">
        <w:rPr>
          <w:rFonts w:ascii="Arial" w:hAnsi="Arial" w:cs="Arial"/>
          <w:sz w:val="23"/>
          <w:szCs w:val="23"/>
        </w:rPr>
        <w:t>A CFCPPP complementou seu exame às fls. 2537/2558, vindo os autos</w:t>
      </w:r>
      <w:r w:rsidR="00275FAA" w:rsidRPr="00EA1DA8">
        <w:rPr>
          <w:rFonts w:ascii="Arial" w:hAnsi="Arial" w:cs="Arial"/>
          <w:sz w:val="23"/>
          <w:szCs w:val="23"/>
        </w:rPr>
        <w:t xml:space="preserve"> ao Ministério Público para manifestação preliminar.</w:t>
      </w:r>
    </w:p>
    <w:p w:rsidR="00275FAA" w:rsidRPr="00035DD9" w:rsidRDefault="00275FAA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035DD9">
        <w:rPr>
          <w:rFonts w:ascii="Arial" w:hAnsi="Arial" w:cs="Arial"/>
          <w:sz w:val="23"/>
          <w:szCs w:val="23"/>
        </w:rPr>
        <w:lastRenderedPageBreak/>
        <w:t>É o relatório, no essencial.</w:t>
      </w:r>
    </w:p>
    <w:p w:rsidR="00275FAA" w:rsidRDefault="00275FAA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F10B7C">
        <w:rPr>
          <w:rFonts w:ascii="Arial" w:hAnsi="Arial" w:cs="Arial"/>
          <w:sz w:val="23"/>
          <w:szCs w:val="23"/>
        </w:rPr>
        <w:t>Nos termos do art. 61, §3º, do Regimento Interno desta Corte, este Ministério Público de Contas vem aos autos apresentar apontamentos complementares aos indicados na denúncia</w:t>
      </w:r>
      <w:r w:rsidR="00724FAA">
        <w:rPr>
          <w:rFonts w:ascii="Arial" w:hAnsi="Arial" w:cs="Arial"/>
          <w:sz w:val="23"/>
          <w:szCs w:val="23"/>
        </w:rPr>
        <w:t xml:space="preserve"> e na análise técnica</w:t>
      </w:r>
      <w:r w:rsidRPr="00F10B7C">
        <w:rPr>
          <w:rFonts w:ascii="Arial" w:hAnsi="Arial" w:cs="Arial"/>
          <w:sz w:val="23"/>
          <w:szCs w:val="23"/>
        </w:rPr>
        <w:t>.</w:t>
      </w:r>
    </w:p>
    <w:p w:rsidR="00724FAA" w:rsidRPr="00724FAA" w:rsidRDefault="00724FAA" w:rsidP="00724FAA">
      <w:pPr>
        <w:tabs>
          <w:tab w:val="left" w:pos="1418"/>
        </w:tabs>
        <w:spacing w:after="200"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>FUNDAMENTAÇÃO</w:t>
      </w:r>
    </w:p>
    <w:p w:rsidR="00275FAA" w:rsidRPr="00F10B7C" w:rsidRDefault="00275FAA" w:rsidP="00275FAA">
      <w:pPr>
        <w:tabs>
          <w:tab w:val="left" w:pos="1418"/>
        </w:tabs>
        <w:spacing w:after="200" w:line="360" w:lineRule="auto"/>
        <w:jc w:val="both"/>
        <w:rPr>
          <w:rFonts w:ascii="Arial" w:hAnsi="Arial" w:cs="Arial"/>
          <w:b/>
          <w:sz w:val="23"/>
          <w:szCs w:val="23"/>
        </w:rPr>
      </w:pPr>
      <w:r w:rsidRPr="00F10B7C">
        <w:rPr>
          <w:rFonts w:ascii="Arial" w:hAnsi="Arial" w:cs="Arial"/>
          <w:b/>
          <w:sz w:val="23"/>
          <w:szCs w:val="23"/>
        </w:rPr>
        <w:t>D</w:t>
      </w:r>
      <w:r w:rsidR="00724FAA">
        <w:rPr>
          <w:rFonts w:ascii="Arial" w:hAnsi="Arial" w:cs="Arial"/>
          <w:b/>
          <w:sz w:val="23"/>
          <w:szCs w:val="23"/>
        </w:rPr>
        <w:t>o tipo de licitação adotado</w:t>
      </w:r>
    </w:p>
    <w:p w:rsidR="00724FAA" w:rsidRDefault="00886FC8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preâmbulo do edital da Concorrência Pública nº 016/2015 estabelece que o julgamento das propostas ofertadas observará o tipo “melhor proposta em razão da combinação</w:t>
      </w:r>
      <w:r w:rsidR="006A162F">
        <w:rPr>
          <w:rFonts w:ascii="Arial" w:hAnsi="Arial" w:cs="Arial"/>
          <w:sz w:val="23"/>
          <w:szCs w:val="23"/>
        </w:rPr>
        <w:t xml:space="preserve"> dos critérios de menor valor da tarifa do serviço público a ser prestado com o de melhor técnica”.</w:t>
      </w:r>
    </w:p>
    <w:p w:rsidR="006A162F" w:rsidRDefault="006A162F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corpo do edital detalha a adoção do tipo licitatório nos itens 14.2.</w:t>
      </w:r>
      <w:r w:rsidR="007A0B8F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 xml:space="preserve">, que repete o preâmbulo, e 14.2.6, </w:t>
      </w:r>
      <w:r w:rsidR="00B37338">
        <w:rPr>
          <w:rFonts w:ascii="Arial" w:hAnsi="Arial" w:cs="Arial"/>
          <w:sz w:val="23"/>
          <w:szCs w:val="23"/>
        </w:rPr>
        <w:t xml:space="preserve">que fixa o peso </w:t>
      </w:r>
      <w:r w:rsidR="00164796">
        <w:rPr>
          <w:rFonts w:ascii="Arial" w:hAnsi="Arial" w:cs="Arial"/>
          <w:sz w:val="23"/>
          <w:szCs w:val="23"/>
        </w:rPr>
        <w:t>das propostas técnica e de preços para aferição da nota final, sendo 7 para a primeira e 3 para a última.</w:t>
      </w:r>
    </w:p>
    <w:p w:rsidR="00724FAA" w:rsidRDefault="00252629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Cumpre, portanto, avaliar a adequação de tais </w:t>
      </w:r>
      <w:r w:rsidR="009940F1">
        <w:rPr>
          <w:rFonts w:ascii="Arial" w:hAnsi="Arial" w:cs="Arial"/>
          <w:sz w:val="23"/>
          <w:szCs w:val="23"/>
        </w:rPr>
        <w:t xml:space="preserve">previsões editalícias </w:t>
      </w:r>
      <w:r w:rsidR="002F230E">
        <w:rPr>
          <w:rFonts w:ascii="Arial" w:hAnsi="Arial" w:cs="Arial"/>
          <w:sz w:val="23"/>
          <w:szCs w:val="23"/>
        </w:rPr>
        <w:t>para a contratação dos serviços de transporte coletivo</w:t>
      </w:r>
      <w:r>
        <w:rPr>
          <w:rFonts w:ascii="Arial" w:hAnsi="Arial" w:cs="Arial"/>
          <w:sz w:val="23"/>
          <w:szCs w:val="23"/>
        </w:rPr>
        <w:t>.</w:t>
      </w:r>
    </w:p>
    <w:p w:rsidR="009940F1" w:rsidRDefault="009940F1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Para tanto, importante registrar que o Estatuto das Licitações, em seu art. 45, §1º, previu os tipos de licitação, quais sejam</w:t>
      </w:r>
      <w:r w:rsidR="003606AB"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 xml:space="preserve"> menor preço; melhor técnica; técnica e preço; e maior lance ou oferta.</w:t>
      </w:r>
    </w:p>
    <w:p w:rsidR="009940F1" w:rsidRDefault="009940F1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Ao disciplinar o regime de concessão e permissão da prestação de serviços públicos, </w:t>
      </w:r>
      <w:r w:rsidR="00612664">
        <w:rPr>
          <w:rFonts w:ascii="Arial" w:hAnsi="Arial" w:cs="Arial"/>
          <w:sz w:val="23"/>
          <w:szCs w:val="23"/>
        </w:rPr>
        <w:t>o art. 15 d</w:t>
      </w:r>
      <w:r>
        <w:rPr>
          <w:rFonts w:ascii="Arial" w:hAnsi="Arial" w:cs="Arial"/>
          <w:sz w:val="23"/>
          <w:szCs w:val="23"/>
        </w:rPr>
        <w:t xml:space="preserve">a Lei nº 8.987, de 1995, trouxe novos designativos para os critérios </w:t>
      </w:r>
      <w:r w:rsidR="00733F38">
        <w:rPr>
          <w:rFonts w:ascii="Arial" w:hAnsi="Arial" w:cs="Arial"/>
          <w:sz w:val="23"/>
          <w:szCs w:val="23"/>
        </w:rPr>
        <w:t xml:space="preserve">orientadores </w:t>
      </w:r>
      <w:r w:rsidR="00E8618B">
        <w:rPr>
          <w:rFonts w:ascii="Arial" w:hAnsi="Arial" w:cs="Arial"/>
          <w:sz w:val="23"/>
          <w:szCs w:val="23"/>
        </w:rPr>
        <w:t>d</w:t>
      </w:r>
      <w:r w:rsidR="00733F38">
        <w:rPr>
          <w:rFonts w:ascii="Arial" w:hAnsi="Arial" w:cs="Arial"/>
          <w:sz w:val="23"/>
          <w:szCs w:val="23"/>
        </w:rPr>
        <w:t>o</w:t>
      </w:r>
      <w:r w:rsidR="00612664">
        <w:rPr>
          <w:rFonts w:ascii="Arial" w:hAnsi="Arial" w:cs="Arial"/>
          <w:sz w:val="23"/>
          <w:szCs w:val="23"/>
        </w:rPr>
        <w:t xml:space="preserve"> julgamento das licitações, todos eles encontrando correlação com algum dos tipos estabelecidos no diploma geral, porém utilizando conceito</w:t>
      </w:r>
      <w:r w:rsidR="00FF3730">
        <w:rPr>
          <w:rFonts w:ascii="Arial" w:hAnsi="Arial" w:cs="Arial"/>
          <w:sz w:val="23"/>
          <w:szCs w:val="23"/>
        </w:rPr>
        <w:t>s próprios da natureza do objeto da delegação</w:t>
      </w:r>
      <w:r w:rsidR="00612664">
        <w:rPr>
          <w:rFonts w:ascii="Arial" w:hAnsi="Arial" w:cs="Arial"/>
          <w:sz w:val="23"/>
          <w:szCs w:val="23"/>
        </w:rPr>
        <w:t>.</w:t>
      </w:r>
    </w:p>
    <w:p w:rsidR="00612664" w:rsidRDefault="00612664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Assim, o critério adotado na situação presente, que combina técnica com a menor tarifa, tem expressa previsão no art. 15, V, da Lei </w:t>
      </w:r>
      <w:r w:rsidR="00733F38">
        <w:rPr>
          <w:rFonts w:ascii="Arial" w:hAnsi="Arial" w:cs="Arial"/>
          <w:sz w:val="23"/>
          <w:szCs w:val="23"/>
        </w:rPr>
        <w:t>de Concessões e Permissões</w:t>
      </w:r>
      <w:r>
        <w:rPr>
          <w:rFonts w:ascii="Arial" w:hAnsi="Arial" w:cs="Arial"/>
          <w:sz w:val="23"/>
          <w:szCs w:val="23"/>
        </w:rPr>
        <w:t xml:space="preserve">, que em muito se assemelha às regras do tipo “técnica e preço”, </w:t>
      </w:r>
      <w:r w:rsidR="00E8618B">
        <w:rPr>
          <w:rFonts w:ascii="Arial" w:hAnsi="Arial" w:cs="Arial"/>
          <w:sz w:val="23"/>
          <w:szCs w:val="23"/>
        </w:rPr>
        <w:t xml:space="preserve">cuja utilização </w:t>
      </w:r>
      <w:r w:rsidR="00733F38">
        <w:rPr>
          <w:rFonts w:ascii="Arial" w:hAnsi="Arial" w:cs="Arial"/>
          <w:sz w:val="23"/>
          <w:szCs w:val="23"/>
        </w:rPr>
        <w:t>foi regulamentada pelo art. 46 da Lei nº 8.666, de 1993, ora transcrito:</w:t>
      </w:r>
    </w:p>
    <w:p w:rsidR="008E10D0" w:rsidRDefault="008E10D0" w:rsidP="008E10D0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Art. 46. </w:t>
      </w:r>
      <w:r w:rsidRPr="008E10D0">
        <w:rPr>
          <w:rFonts w:ascii="Arial" w:hAnsi="Arial" w:cs="Arial"/>
          <w:sz w:val="20"/>
          <w:szCs w:val="20"/>
          <w:u w:val="single"/>
        </w:rPr>
        <w:t>Os tipos de licitação ‘melhor técnica’ ou ‘técnica e preço’ serão utilizados exclusivamente para serviços de natureza predominantemente intelectual</w:t>
      </w:r>
      <w:r>
        <w:rPr>
          <w:rFonts w:ascii="Arial" w:hAnsi="Arial" w:cs="Arial"/>
          <w:sz w:val="20"/>
          <w:szCs w:val="20"/>
        </w:rPr>
        <w:t>, em especial na elaboração de projetos, cálculos, fiscalização, supervisão e gerenciamento e de engenharia consultiva em geral e, em particular, para a elaboração de estudos técnicos preliminares e projetos básicos e executivos, ressalvado o disposto no § 4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do artigo anterior.</w:t>
      </w:r>
    </w:p>
    <w:p w:rsidR="008E10D0" w:rsidRDefault="008E10D0" w:rsidP="008E10D0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 1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  Nas licitações do tipo ‘melhor técnica’ será adotado o seguinte:</w:t>
      </w:r>
    </w:p>
    <w:p w:rsidR="008E10D0" w:rsidRDefault="008E10D0" w:rsidP="008E10D0">
      <w:pPr>
        <w:pStyle w:val="NormalWeb"/>
        <w:spacing w:before="0" w:beforeAutospacing="0" w:after="0" w:afterAutospacing="0"/>
        <w:ind w:left="2268"/>
        <w:jc w:val="both"/>
      </w:pPr>
      <w:r>
        <w:rPr>
          <w:rFonts w:ascii="Arial" w:hAnsi="Arial" w:cs="Arial"/>
          <w:sz w:val="20"/>
          <w:szCs w:val="20"/>
        </w:rPr>
        <w:t>[...]</w:t>
      </w:r>
    </w:p>
    <w:p w:rsidR="008E10D0" w:rsidRDefault="008E10D0" w:rsidP="008E10D0">
      <w:pPr>
        <w:pStyle w:val="NormalWeb"/>
        <w:spacing w:before="0" w:beforeAutospacing="0" w:after="0" w:afterAutospacing="0"/>
        <w:ind w:left="2268"/>
        <w:jc w:val="both"/>
      </w:pPr>
      <w:bookmarkStart w:id="0" w:name="art46§2"/>
      <w:bookmarkEnd w:id="0"/>
      <w:r>
        <w:rPr>
          <w:rFonts w:ascii="Arial" w:hAnsi="Arial" w:cs="Arial"/>
          <w:sz w:val="20"/>
          <w:szCs w:val="20"/>
        </w:rPr>
        <w:t>§ 2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  Nas licitações do tipo ‘técnica e preço’ será adotado, adicionalmente ao inciso I do parágrafo anterior, o seguinte procedimento claramente explicitado no instrumento convocatório:</w:t>
      </w:r>
    </w:p>
    <w:p w:rsidR="008E10D0" w:rsidRDefault="008E10D0" w:rsidP="008E10D0">
      <w:pPr>
        <w:pStyle w:val="NormalWeb"/>
        <w:spacing w:before="0" w:beforeAutospacing="0" w:after="0" w:afterAutospacing="0"/>
        <w:ind w:left="2268"/>
        <w:jc w:val="both"/>
      </w:pPr>
      <w:r>
        <w:rPr>
          <w:rFonts w:ascii="Arial" w:hAnsi="Arial" w:cs="Arial"/>
          <w:sz w:val="20"/>
          <w:szCs w:val="20"/>
        </w:rPr>
        <w:t>I - será feita a avaliação e a valorização das propostas de preços, de acordo com critérios objetivos preestabelecidos no instrumento convocatório;</w:t>
      </w:r>
    </w:p>
    <w:p w:rsidR="008E10D0" w:rsidRDefault="008E10D0" w:rsidP="008E10D0">
      <w:pPr>
        <w:pStyle w:val="NormalWeb"/>
        <w:spacing w:before="0" w:beforeAutospacing="0" w:after="0" w:afterAutospacing="0"/>
        <w:ind w:left="2268"/>
        <w:jc w:val="both"/>
      </w:pPr>
      <w:r>
        <w:rPr>
          <w:rFonts w:ascii="Arial" w:hAnsi="Arial" w:cs="Arial"/>
          <w:sz w:val="20"/>
          <w:szCs w:val="20"/>
        </w:rPr>
        <w:t>II - a classificação dos proponentes far-se-á de acordo com a média ponderada das valorizações das propostas técnicas e de preço, de acordo com os pesos preestabelecidos no instrumento convocatório.</w:t>
      </w:r>
    </w:p>
    <w:p w:rsidR="008E10D0" w:rsidRDefault="008E10D0" w:rsidP="008E10D0">
      <w:pPr>
        <w:pStyle w:val="NormalWeb"/>
        <w:spacing w:before="0" w:beforeAutospacing="0" w:after="200" w:afterAutospacing="0"/>
        <w:ind w:left="2268"/>
        <w:jc w:val="both"/>
      </w:pPr>
      <w:r>
        <w:rPr>
          <w:rFonts w:ascii="Arial" w:hAnsi="Arial" w:cs="Arial"/>
          <w:sz w:val="20"/>
          <w:szCs w:val="20"/>
        </w:rPr>
        <w:t>§ 3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  </w:t>
      </w:r>
      <w:r w:rsidRPr="008E10D0">
        <w:rPr>
          <w:rFonts w:ascii="Arial" w:hAnsi="Arial" w:cs="Arial"/>
          <w:sz w:val="20"/>
          <w:szCs w:val="20"/>
          <w:u w:val="single"/>
        </w:rPr>
        <w:t>Excepcionalmente, os tipos de licitação previstos neste artigo poderão ser adotados</w:t>
      </w:r>
      <w:r>
        <w:rPr>
          <w:rFonts w:ascii="Arial" w:hAnsi="Arial" w:cs="Arial"/>
          <w:sz w:val="20"/>
          <w:szCs w:val="20"/>
        </w:rPr>
        <w:t xml:space="preserve">, por autorização expressa e mediante justificativa circunstanciada da maior autoridade da Administração promotora constante do ato convocatório, </w:t>
      </w:r>
      <w:r w:rsidRPr="008E10D0">
        <w:rPr>
          <w:rFonts w:ascii="Arial" w:hAnsi="Arial" w:cs="Arial"/>
          <w:sz w:val="20"/>
          <w:szCs w:val="20"/>
          <w:u w:val="single"/>
        </w:rPr>
        <w:t>para fornecimento de bens e execução de obras ou prestação de serviços de grande vulto majoritariamente dependentes de tecnologia nitidamente sofisticada e de domínio restrito</w:t>
      </w:r>
      <w:r>
        <w:rPr>
          <w:rFonts w:ascii="Arial" w:hAnsi="Arial" w:cs="Arial"/>
          <w:sz w:val="20"/>
          <w:szCs w:val="20"/>
        </w:rPr>
        <w:t xml:space="preserve">, atestado por autoridades técnicas de reconhecida qualificação, nos casos em que o objeto pretendido admitir soluções alternativas e variações de execução, com repercussões significativas sobre sua qualidade, produtividade, rendimento e durabilidade concretamente mensuráveis, e estas puderem ser adotadas à livre escolha dos licitantes, na conformidade dos critérios objetivamente fixados no ato convocatório. </w:t>
      </w:r>
    </w:p>
    <w:p w:rsidR="00DA4BAF" w:rsidRDefault="001A61CB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Das</w:t>
      </w:r>
      <w:r w:rsidR="00EB2F1E">
        <w:rPr>
          <w:rFonts w:ascii="Arial" w:hAnsi="Arial" w:cs="Arial"/>
          <w:sz w:val="23"/>
          <w:szCs w:val="23"/>
        </w:rPr>
        <w:t xml:space="preserve"> balizas </w:t>
      </w:r>
      <w:r>
        <w:rPr>
          <w:rFonts w:ascii="Arial" w:hAnsi="Arial" w:cs="Arial"/>
          <w:sz w:val="23"/>
          <w:szCs w:val="23"/>
        </w:rPr>
        <w:t>trazidas pelo texto legal, denota-se com clareza que</w:t>
      </w:r>
      <w:r w:rsidR="00DA4BAF">
        <w:rPr>
          <w:rFonts w:ascii="Arial" w:hAnsi="Arial" w:cs="Arial"/>
          <w:sz w:val="23"/>
          <w:szCs w:val="23"/>
        </w:rPr>
        <w:t xml:space="preserve"> a regra, em nosso sistema jurídico, é a adoção do tipo “menor preço”, cuja objetividade para aferição das propostas em muito contribui para se verificar a vantajosidade da contratação para a Administração.</w:t>
      </w:r>
    </w:p>
    <w:p w:rsidR="00A654A3" w:rsidRDefault="00DA4BAF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DA4BAF">
        <w:rPr>
          <w:rFonts w:ascii="Arial" w:hAnsi="Arial" w:cs="Arial"/>
          <w:sz w:val="23"/>
          <w:szCs w:val="23"/>
        </w:rPr>
        <w:t xml:space="preserve">Ao revés, </w:t>
      </w:r>
      <w:r w:rsidR="001A61CB" w:rsidRPr="00DA4BAF">
        <w:rPr>
          <w:rFonts w:ascii="Arial" w:hAnsi="Arial" w:cs="Arial"/>
          <w:sz w:val="23"/>
          <w:szCs w:val="23"/>
        </w:rPr>
        <w:t xml:space="preserve">os tipos licitatórios que envolvem o julgamento de propostas técnicas são excepcionais e somente têm lugar quando a necessidade administrativa </w:t>
      </w:r>
      <w:r w:rsidRPr="00DA4BAF">
        <w:rPr>
          <w:rFonts w:ascii="Arial" w:hAnsi="Arial" w:cs="Arial"/>
          <w:sz w:val="23"/>
          <w:szCs w:val="23"/>
        </w:rPr>
        <w:t>não se satisfizer com qualidade técnica mínima, devidamente detalhada na especificação do objeto.</w:t>
      </w:r>
      <w:r w:rsidR="00A654A3">
        <w:rPr>
          <w:rFonts w:ascii="Arial" w:hAnsi="Arial" w:cs="Arial"/>
          <w:sz w:val="23"/>
          <w:szCs w:val="23"/>
        </w:rPr>
        <w:t xml:space="preserve"> </w:t>
      </w:r>
    </w:p>
    <w:p w:rsidR="00B96CCC" w:rsidRDefault="00A654A3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É o que acontece </w:t>
      </w:r>
      <w:r w:rsidR="001A7AFB">
        <w:rPr>
          <w:rFonts w:ascii="Arial" w:hAnsi="Arial" w:cs="Arial"/>
          <w:sz w:val="23"/>
          <w:szCs w:val="23"/>
        </w:rPr>
        <w:t xml:space="preserve">com </w:t>
      </w:r>
      <w:r>
        <w:rPr>
          <w:rFonts w:ascii="Arial" w:hAnsi="Arial" w:cs="Arial"/>
          <w:sz w:val="23"/>
          <w:szCs w:val="23"/>
        </w:rPr>
        <w:t>as atividades declinadas no art. 46, em que a predominância do fator intelectual ou tecnológico determina que a melhor contratação seja alcançada pela utilização das melhores técnicas, e não pelos menores valores.</w:t>
      </w:r>
      <w:r w:rsidR="00B96CCC">
        <w:rPr>
          <w:rFonts w:ascii="Arial" w:hAnsi="Arial" w:cs="Arial"/>
          <w:sz w:val="23"/>
          <w:szCs w:val="23"/>
        </w:rPr>
        <w:t xml:space="preserve"> </w:t>
      </w:r>
    </w:p>
    <w:p w:rsidR="002F230E" w:rsidRDefault="00B96CCC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Nas demais situações, deve ser adotada a regra do julgamento segundo o melhor preço, correspondente ao menor desembolso pela Administração ou pelos usuários do serviço, caso remunerado por tarifa.</w:t>
      </w:r>
    </w:p>
    <w:p w:rsidR="00A654A3" w:rsidRDefault="00A661BD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N</w:t>
      </w:r>
      <w:r w:rsidR="005670F0">
        <w:rPr>
          <w:rFonts w:ascii="Arial" w:hAnsi="Arial" w:cs="Arial"/>
          <w:sz w:val="23"/>
          <w:szCs w:val="23"/>
        </w:rPr>
        <w:t xml:space="preserve">esse </w:t>
      </w:r>
      <w:r>
        <w:rPr>
          <w:rFonts w:ascii="Arial" w:hAnsi="Arial" w:cs="Arial"/>
          <w:sz w:val="23"/>
          <w:szCs w:val="23"/>
        </w:rPr>
        <w:t>sentido são as lições de Justen Filho, senão vejamos</w:t>
      </w:r>
      <w:r w:rsidR="001A7AFB">
        <w:rPr>
          <w:rFonts w:ascii="Arial" w:hAnsi="Arial" w:cs="Arial"/>
          <w:sz w:val="23"/>
          <w:szCs w:val="23"/>
        </w:rPr>
        <w:t>:</w:t>
      </w:r>
    </w:p>
    <w:p w:rsidR="001A7AFB" w:rsidRDefault="001A7AFB" w:rsidP="001A7AFB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“As licitações de melhor técnica e de técnica e preço foram reservadas para situações especialíssimas. Devem ser praticadas como exceção, sendo a regra a licitação de menor preço.</w:t>
      </w:r>
    </w:p>
    <w:p w:rsidR="001A7AFB" w:rsidRDefault="001A7AFB" w:rsidP="001A7AFB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[...]</w:t>
      </w:r>
    </w:p>
    <w:p w:rsidR="001A7AFB" w:rsidRPr="001A7AFB" w:rsidRDefault="001A7AFB" w:rsidP="001A7AFB">
      <w:pPr>
        <w:tabs>
          <w:tab w:val="left" w:pos="1418"/>
        </w:tabs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licitações de melhor técnica ou de técnica e preço são adequadas nas hipóteses em que a Administração somente pode ser satisfeita mediante a prestação dotada da maior perfeição técnica possível. A licitação de menor preço é a solução apropriada quando o interesse da Administração pode ser atendido mediante uma prestação dotada de qualidade técnica mínima, desde que atendidos os requisitos necessários.”</w:t>
      </w:r>
      <w:r w:rsidR="004946E2">
        <w:rPr>
          <w:rStyle w:val="Refdenotaderodap"/>
          <w:rFonts w:ascii="Arial" w:hAnsi="Arial" w:cs="Arial"/>
          <w:sz w:val="20"/>
          <w:szCs w:val="20"/>
        </w:rPr>
        <w:footnoteReference w:id="1"/>
      </w:r>
    </w:p>
    <w:p w:rsidR="00DA4BAF" w:rsidRDefault="005670F0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mesma linha de raciocínio é invocada pelo Tribunal de Contas da União</w:t>
      </w:r>
      <w:r w:rsidR="00145C79">
        <w:rPr>
          <w:rFonts w:ascii="Arial" w:hAnsi="Arial" w:cs="Arial"/>
          <w:sz w:val="23"/>
          <w:szCs w:val="23"/>
        </w:rPr>
        <w:t xml:space="preserve"> em seus julgados, </w:t>
      </w:r>
      <w:r w:rsidR="00145C79" w:rsidRPr="00145C79">
        <w:rPr>
          <w:rFonts w:ascii="Arial" w:hAnsi="Arial" w:cs="Arial"/>
          <w:i/>
          <w:sz w:val="23"/>
          <w:szCs w:val="23"/>
        </w:rPr>
        <w:t>in verbis</w:t>
      </w:r>
      <w:r w:rsidR="00145C79">
        <w:rPr>
          <w:rFonts w:ascii="Arial" w:hAnsi="Arial" w:cs="Arial"/>
          <w:sz w:val="23"/>
          <w:szCs w:val="23"/>
        </w:rPr>
        <w:t>:</w:t>
      </w:r>
    </w:p>
    <w:p w:rsidR="00A31871" w:rsidRDefault="00A31871" w:rsidP="00A31871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Pr="00A31871">
        <w:rPr>
          <w:rFonts w:ascii="Arial" w:hAnsi="Arial" w:cs="Arial"/>
          <w:bCs/>
          <w:sz w:val="20"/>
          <w:szCs w:val="20"/>
        </w:rPr>
        <w:t xml:space="preserve">[SUMÁRIO] </w:t>
      </w:r>
    </w:p>
    <w:p w:rsidR="00A31871" w:rsidRDefault="00A31871" w:rsidP="00A31871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A31871">
        <w:rPr>
          <w:rFonts w:ascii="Arial" w:hAnsi="Arial" w:cs="Arial"/>
          <w:sz w:val="20"/>
          <w:szCs w:val="20"/>
        </w:rPr>
        <w:t>3. O cabimento da licitação do tipo 'técnica e preço' deve observar as hipóteses do art. 46, caput e § 3º, da Lei n. 8.666/1993. Quando cabível a licitação do tipo 'preço', todavia, a fixação de critérios técnicos de julgamento não prejudica a finalidade da licitação, desde que tais critérios sejam compatíveis com o objeto licitado e não haja prejuízo aos licitantes.</w:t>
      </w:r>
    </w:p>
    <w:p w:rsidR="00A31871" w:rsidRDefault="00A31871" w:rsidP="00A31871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A31871">
        <w:rPr>
          <w:rFonts w:ascii="Arial" w:hAnsi="Arial" w:cs="Arial"/>
          <w:sz w:val="20"/>
          <w:szCs w:val="20"/>
        </w:rPr>
        <w:t>[VOTO]</w:t>
      </w:r>
    </w:p>
    <w:p w:rsidR="00A31871" w:rsidRDefault="00A31871" w:rsidP="00A31871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A31871">
        <w:rPr>
          <w:rFonts w:ascii="Arial" w:hAnsi="Arial" w:cs="Arial"/>
          <w:sz w:val="20"/>
          <w:szCs w:val="20"/>
        </w:rPr>
        <w:t>23. Antes de discorrer sobre a pontuação dos fatores técnicos, considero necessário verificar, preliminarmente, o cabimento da licitação do tipo `técnica e preço'.</w:t>
      </w:r>
    </w:p>
    <w:p w:rsidR="00A31871" w:rsidRDefault="00A31871" w:rsidP="00A31871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A31871">
        <w:rPr>
          <w:rFonts w:ascii="Arial" w:hAnsi="Arial" w:cs="Arial"/>
          <w:sz w:val="20"/>
          <w:szCs w:val="20"/>
        </w:rPr>
        <w:t xml:space="preserve">24. No tocante aos critérios de julgamento da licitação, cumpre registrar que </w:t>
      </w:r>
      <w:r w:rsidRPr="00A31871">
        <w:rPr>
          <w:rFonts w:ascii="Arial" w:hAnsi="Arial" w:cs="Arial"/>
          <w:sz w:val="20"/>
          <w:szCs w:val="20"/>
          <w:u w:val="single"/>
        </w:rPr>
        <w:t>a licitação do tipo 'técnica e preço' é indicada para escolha da proposta mais adequada à execução de serviços predominantemente intelectuais ou de grande vulto, desde que, neste último caso, majoritariamente dependentes de tecnologia nitidamente sofisticada e de domínio restrito</w:t>
      </w:r>
      <w:r w:rsidRPr="00A31871">
        <w:rPr>
          <w:rFonts w:ascii="Arial" w:hAnsi="Arial" w:cs="Arial"/>
          <w:sz w:val="20"/>
          <w:szCs w:val="20"/>
        </w:rPr>
        <w:t>, conforme prescreve o art. 46 da Lei n. 8.666/1993, com redação dada pela Lei n. 8.883/1994:</w:t>
      </w:r>
      <w:r w:rsidRPr="00A3187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[...]</w:t>
      </w:r>
      <w:r w:rsidRPr="00A31871">
        <w:rPr>
          <w:rFonts w:ascii="Arial" w:hAnsi="Arial" w:cs="Arial"/>
          <w:sz w:val="20"/>
          <w:szCs w:val="20"/>
        </w:rPr>
        <w:br/>
        <w:t xml:space="preserve">25. Muito embora a responsável argumente que o serviço desejado pela Administração requeira planejamento e metodologia, os elementos intelectuais por ele exigidos dizem respeito à concepção da proposta, e não à execução do contrato propriamente dita. Uma vez estabelecido o melhor traçado do estacionamento, as formas de circulação de veículos e os equipamentos a serem empregados, cessam as definições técnicas, executando-se o serviço de forma repetitiva e até mesmo automática. </w:t>
      </w:r>
      <w:r w:rsidRPr="00A31871">
        <w:rPr>
          <w:rFonts w:ascii="Arial" w:hAnsi="Arial" w:cs="Arial"/>
          <w:sz w:val="20"/>
          <w:szCs w:val="20"/>
          <w:u w:val="single"/>
        </w:rPr>
        <w:t>Não é possível equipará-lo aos serviços em que a produção intelectual é a essência e a substância da prestação devida pelo contratado</w:t>
      </w:r>
      <w:r w:rsidRPr="00A31871">
        <w:rPr>
          <w:rFonts w:ascii="Arial" w:hAnsi="Arial" w:cs="Arial"/>
          <w:sz w:val="20"/>
          <w:szCs w:val="20"/>
        </w:rPr>
        <w:t>.</w:t>
      </w:r>
    </w:p>
    <w:p w:rsidR="00A31871" w:rsidRDefault="00A31871" w:rsidP="00A31871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A31871">
        <w:rPr>
          <w:rFonts w:ascii="Arial" w:hAnsi="Arial" w:cs="Arial"/>
          <w:sz w:val="20"/>
          <w:szCs w:val="20"/>
        </w:rPr>
        <w:t xml:space="preserve">26. Uma outra tentativa de justificar o tipo de licitação escolhido menciona o vulto do contrato [...]. </w:t>
      </w:r>
      <w:r w:rsidRPr="00A31871">
        <w:rPr>
          <w:rFonts w:ascii="Arial" w:hAnsi="Arial" w:cs="Arial"/>
          <w:sz w:val="20"/>
          <w:szCs w:val="20"/>
          <w:u w:val="single"/>
        </w:rPr>
        <w:t>Apesar de vultoso o contrato, a responsável não demonstra o matiz tecnológico do serviço, distanciando-se da hipótese excepcional prevista no § 3º acima reproduzido</w:t>
      </w:r>
      <w:r w:rsidRPr="00A31871">
        <w:rPr>
          <w:rFonts w:ascii="Arial" w:hAnsi="Arial" w:cs="Arial"/>
          <w:sz w:val="20"/>
          <w:szCs w:val="20"/>
        </w:rPr>
        <w:t>.</w:t>
      </w:r>
    </w:p>
    <w:p w:rsidR="00A31871" w:rsidRDefault="00A31871" w:rsidP="00A31871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[...]</w:t>
      </w:r>
    </w:p>
    <w:p w:rsidR="007C636F" w:rsidRDefault="00A31871" w:rsidP="00A31871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A31871">
        <w:rPr>
          <w:rFonts w:ascii="Arial" w:hAnsi="Arial" w:cs="Arial"/>
          <w:sz w:val="20"/>
          <w:szCs w:val="20"/>
        </w:rPr>
        <w:t xml:space="preserve">31. No que diz respeito ao caráter competitivo do certame, estimo que a redação de uma proposta técnica, versando sobre itens que poderiam ter </w:t>
      </w:r>
      <w:r w:rsidRPr="00A31871">
        <w:rPr>
          <w:rFonts w:ascii="Arial" w:hAnsi="Arial" w:cs="Arial"/>
          <w:sz w:val="20"/>
          <w:szCs w:val="20"/>
        </w:rPr>
        <w:lastRenderedPageBreak/>
        <w:t>sido enfrentados na fase de comprovação da qualificação, não é suficiente para afastar o interesse de empresas candidatas à execução de um contrato com faturamento anual de R$ 1.200.000,00.</w:t>
      </w:r>
    </w:p>
    <w:p w:rsidR="007C636F" w:rsidRDefault="00A31871" w:rsidP="00A31871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A31871">
        <w:rPr>
          <w:rFonts w:ascii="Arial" w:hAnsi="Arial" w:cs="Arial"/>
          <w:sz w:val="20"/>
          <w:szCs w:val="20"/>
        </w:rPr>
        <w:t>[...]</w:t>
      </w:r>
      <w:r w:rsidRPr="00A31871">
        <w:rPr>
          <w:rFonts w:ascii="Arial" w:hAnsi="Arial" w:cs="Arial"/>
          <w:sz w:val="20"/>
          <w:szCs w:val="20"/>
        </w:rPr>
        <w:br/>
        <w:t>ACORDAM [...] em:</w:t>
      </w:r>
    </w:p>
    <w:p w:rsidR="007C636F" w:rsidRDefault="00A31871" w:rsidP="00A31871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A31871">
        <w:rPr>
          <w:rFonts w:ascii="Arial" w:hAnsi="Arial" w:cs="Arial"/>
          <w:sz w:val="20"/>
          <w:szCs w:val="20"/>
        </w:rPr>
        <w:t>[...]</w:t>
      </w:r>
      <w:r w:rsidRPr="00A31871">
        <w:rPr>
          <w:rFonts w:ascii="Arial" w:hAnsi="Arial" w:cs="Arial"/>
          <w:sz w:val="20"/>
          <w:szCs w:val="20"/>
        </w:rPr>
        <w:br/>
        <w:t>9.3. determinar ao TRT - 2ª Região que:</w:t>
      </w:r>
    </w:p>
    <w:p w:rsidR="007C636F" w:rsidRDefault="00A31871" w:rsidP="00A31871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A31871">
        <w:rPr>
          <w:rFonts w:ascii="Arial" w:hAnsi="Arial" w:cs="Arial"/>
          <w:sz w:val="20"/>
          <w:szCs w:val="20"/>
        </w:rPr>
        <w:t>[...]</w:t>
      </w:r>
      <w:r w:rsidRPr="00A31871">
        <w:rPr>
          <w:rFonts w:ascii="Arial" w:hAnsi="Arial" w:cs="Arial"/>
          <w:sz w:val="20"/>
          <w:szCs w:val="20"/>
        </w:rPr>
        <w:br/>
        <w:t xml:space="preserve">9.3.3. </w:t>
      </w:r>
      <w:r w:rsidRPr="007C636F">
        <w:rPr>
          <w:rFonts w:ascii="Arial" w:hAnsi="Arial" w:cs="Arial"/>
          <w:sz w:val="20"/>
          <w:szCs w:val="20"/>
          <w:u w:val="single"/>
        </w:rPr>
        <w:t xml:space="preserve">limite a utilização de licitação do tipo 'melhor técnica' e 'técnica e preço' à contratação de serviços de natureza predominantemente intelectual, a teor do art. 46, </w:t>
      </w:r>
      <w:r w:rsidRPr="008F4487">
        <w:rPr>
          <w:rFonts w:ascii="Arial" w:hAnsi="Arial" w:cs="Arial"/>
          <w:i/>
          <w:sz w:val="20"/>
          <w:szCs w:val="20"/>
          <w:u w:val="single"/>
        </w:rPr>
        <w:t>caput</w:t>
      </w:r>
      <w:r w:rsidRPr="007C636F">
        <w:rPr>
          <w:rFonts w:ascii="Arial" w:hAnsi="Arial" w:cs="Arial"/>
          <w:sz w:val="20"/>
          <w:szCs w:val="20"/>
          <w:u w:val="single"/>
        </w:rPr>
        <w:t>, da Lei n. 8.666/1993, ou, em caráter excepcionalíssimo, à contratação de objeto de grande vulto, dependente majoritariamente de tecnologia nitidamente sofisticada e de domínio restrito</w:t>
      </w:r>
      <w:r w:rsidRPr="00A31871">
        <w:rPr>
          <w:rFonts w:ascii="Arial" w:hAnsi="Arial" w:cs="Arial"/>
          <w:sz w:val="20"/>
          <w:szCs w:val="20"/>
        </w:rPr>
        <w:t>, que admita soluções alternativas e variações significativas sobre sua qualidade, produtividade, rendimento e durabilidade concretamente mensuráveis, com base no § 3º do referido artigo;</w:t>
      </w:r>
    </w:p>
    <w:p w:rsidR="00154EA9" w:rsidRPr="00A31871" w:rsidRDefault="00A31871" w:rsidP="00A55D1C">
      <w:pPr>
        <w:tabs>
          <w:tab w:val="left" w:pos="1418"/>
        </w:tabs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A31871">
        <w:rPr>
          <w:rFonts w:ascii="Arial" w:hAnsi="Arial" w:cs="Arial"/>
          <w:sz w:val="20"/>
          <w:szCs w:val="20"/>
        </w:rPr>
        <w:t>9.3.4. reserve o procedimento da pré-qualificação, previsto no art. 114 do Estatuto das Licitações, aos casos em que o objeto licitado recomendar análise mais detida da qualificação técnica dos interessados;</w:t>
      </w:r>
      <w:r w:rsidR="00A55D1C">
        <w:rPr>
          <w:rFonts w:ascii="Arial" w:hAnsi="Arial" w:cs="Arial"/>
          <w:sz w:val="20"/>
          <w:szCs w:val="20"/>
        </w:rPr>
        <w:t>”</w:t>
      </w:r>
      <w:r w:rsidR="00A55D1C"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DF032F" w:rsidRPr="00D36123" w:rsidRDefault="006F689E" w:rsidP="008F4487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vanish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Cotejando as disposições legais e </w:t>
      </w:r>
      <w:r w:rsidR="00C37A99">
        <w:rPr>
          <w:rFonts w:ascii="Arial" w:hAnsi="Arial" w:cs="Arial"/>
          <w:sz w:val="23"/>
          <w:szCs w:val="23"/>
        </w:rPr>
        <w:t xml:space="preserve">as ponderações doutrinárias e jurisprudenciais, imperioso reconhecer que </w:t>
      </w:r>
      <w:r w:rsidR="00F97D7E">
        <w:rPr>
          <w:rFonts w:ascii="Arial" w:hAnsi="Arial" w:cs="Arial"/>
          <w:sz w:val="23"/>
          <w:szCs w:val="23"/>
        </w:rPr>
        <w:t xml:space="preserve">o serviço de transporte coletivo não apresenta natureza predominantemente intelectual, como exigido no </w:t>
      </w:r>
      <w:r w:rsidR="00F97D7E" w:rsidRPr="00F97D7E">
        <w:rPr>
          <w:rFonts w:ascii="Arial" w:hAnsi="Arial" w:cs="Arial"/>
          <w:i/>
          <w:sz w:val="23"/>
          <w:szCs w:val="23"/>
        </w:rPr>
        <w:t>caput</w:t>
      </w:r>
      <w:r w:rsidR="00F97D7E">
        <w:rPr>
          <w:rFonts w:ascii="Arial" w:hAnsi="Arial" w:cs="Arial"/>
          <w:sz w:val="23"/>
          <w:szCs w:val="23"/>
        </w:rPr>
        <w:t xml:space="preserve"> do art. 46, e, mesmo que seja de grande vulto, não depende de </w:t>
      </w:r>
      <w:r w:rsidR="00F97D7E" w:rsidRPr="00A644D6">
        <w:rPr>
          <w:rFonts w:ascii="Arial" w:hAnsi="Arial" w:cs="Arial"/>
          <w:sz w:val="23"/>
          <w:szCs w:val="23"/>
        </w:rPr>
        <w:t>tecnologia nitidamente sofisticada</w:t>
      </w:r>
      <w:r w:rsidR="00C76D6E">
        <w:rPr>
          <w:rFonts w:ascii="Arial" w:hAnsi="Arial" w:cs="Arial"/>
          <w:sz w:val="23"/>
          <w:szCs w:val="23"/>
        </w:rPr>
        <w:t xml:space="preserve"> e de domínio restrito</w:t>
      </w:r>
      <w:r w:rsidR="008F4487" w:rsidRPr="00A644D6">
        <w:rPr>
          <w:rFonts w:ascii="Arial" w:hAnsi="Arial" w:cs="Arial"/>
          <w:sz w:val="23"/>
          <w:szCs w:val="23"/>
        </w:rPr>
        <w:t>.</w:t>
      </w:r>
    </w:p>
    <w:p w:rsidR="005B527E" w:rsidRPr="005B527E" w:rsidRDefault="00D36123" w:rsidP="008F4487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vanish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Trata-se</w:t>
      </w:r>
      <w:r w:rsidR="00FA77F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serviço prestado com características muito semelhantes em todas as médias e grandes cidades</w:t>
      </w:r>
      <w:r w:rsidR="00FA77FC">
        <w:rPr>
          <w:rFonts w:ascii="Arial" w:hAnsi="Arial" w:cs="Arial"/>
          <w:sz w:val="23"/>
          <w:szCs w:val="23"/>
        </w:rPr>
        <w:t xml:space="preserve">, </w:t>
      </w:r>
      <w:r w:rsidR="005B527E">
        <w:rPr>
          <w:rFonts w:ascii="Arial" w:hAnsi="Arial" w:cs="Arial"/>
          <w:sz w:val="23"/>
          <w:szCs w:val="23"/>
        </w:rPr>
        <w:t xml:space="preserve">sendo a atividade primordial – o transporte de passageiros em veículos coletivos – executada sem a incidência de fatores eminentemente intelectuais ou tecnológicos. </w:t>
      </w:r>
    </w:p>
    <w:p w:rsidR="00D36123" w:rsidRPr="002B5802" w:rsidRDefault="005B527E" w:rsidP="008F4487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vanish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grande maioria dos profissionais envolvidos, inclusive, não apresenta alto nível de qualificação, bastando escolaridade básica e, em alguns casos</w:t>
      </w:r>
      <w:r w:rsidR="00FB4C27">
        <w:rPr>
          <w:rFonts w:ascii="Arial" w:hAnsi="Arial" w:cs="Arial"/>
          <w:sz w:val="23"/>
          <w:szCs w:val="23"/>
        </w:rPr>
        <w:t>, como os de motorista</w:t>
      </w:r>
      <w:r>
        <w:rPr>
          <w:rFonts w:ascii="Arial" w:hAnsi="Arial" w:cs="Arial"/>
          <w:sz w:val="23"/>
          <w:szCs w:val="23"/>
        </w:rPr>
        <w:t>, breves cursos específicos.</w:t>
      </w:r>
    </w:p>
    <w:p w:rsidR="008F4487" w:rsidRPr="008F4487" w:rsidRDefault="008F4487" w:rsidP="008F4487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vanish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Logo, em um juízo excludente, observa-se que </w:t>
      </w:r>
      <w:r w:rsidR="0099202A">
        <w:rPr>
          <w:rFonts w:ascii="Arial" w:hAnsi="Arial" w:cs="Arial"/>
          <w:sz w:val="23"/>
          <w:szCs w:val="23"/>
        </w:rPr>
        <w:t>a natureza do objeto da Concorrência Pública nº 016/2015 não apresenta as características</w:t>
      </w:r>
      <w:r w:rsidR="009E2B5E">
        <w:rPr>
          <w:rFonts w:ascii="Arial" w:hAnsi="Arial" w:cs="Arial"/>
          <w:sz w:val="23"/>
          <w:szCs w:val="23"/>
        </w:rPr>
        <w:t xml:space="preserve"> que, segundo</w:t>
      </w:r>
      <w:r w:rsidR="0099202A">
        <w:rPr>
          <w:rFonts w:ascii="Arial" w:hAnsi="Arial" w:cs="Arial"/>
          <w:sz w:val="23"/>
          <w:szCs w:val="23"/>
        </w:rPr>
        <w:t xml:space="preserve"> a </w:t>
      </w:r>
      <w:r w:rsidR="009E2B5E">
        <w:rPr>
          <w:rFonts w:ascii="Arial" w:hAnsi="Arial" w:cs="Arial"/>
          <w:sz w:val="23"/>
          <w:szCs w:val="23"/>
        </w:rPr>
        <w:t>norma legal,</w:t>
      </w:r>
      <w:r w:rsidR="0099202A">
        <w:rPr>
          <w:rFonts w:ascii="Arial" w:hAnsi="Arial" w:cs="Arial"/>
          <w:sz w:val="23"/>
          <w:szCs w:val="23"/>
        </w:rPr>
        <w:t xml:space="preserve"> </w:t>
      </w:r>
      <w:r w:rsidR="009E2B5E">
        <w:rPr>
          <w:rFonts w:ascii="Arial" w:hAnsi="Arial" w:cs="Arial"/>
          <w:sz w:val="23"/>
          <w:szCs w:val="23"/>
        </w:rPr>
        <w:t>conferem</w:t>
      </w:r>
      <w:r w:rsidR="0099202A">
        <w:rPr>
          <w:rFonts w:ascii="Arial" w:hAnsi="Arial" w:cs="Arial"/>
          <w:sz w:val="23"/>
          <w:szCs w:val="23"/>
        </w:rPr>
        <w:t xml:space="preserve"> relevância técnica suficiente para mitigar a utilização do tipo “menor preço” ou “menor tarifa”</w:t>
      </w:r>
      <w:r w:rsidR="000136A1">
        <w:rPr>
          <w:rFonts w:ascii="Arial" w:hAnsi="Arial" w:cs="Arial"/>
          <w:sz w:val="23"/>
          <w:szCs w:val="23"/>
        </w:rPr>
        <w:t xml:space="preserve">, </w:t>
      </w:r>
      <w:r w:rsidR="009E2B5E">
        <w:rPr>
          <w:rFonts w:ascii="Arial" w:hAnsi="Arial" w:cs="Arial"/>
          <w:sz w:val="23"/>
          <w:szCs w:val="23"/>
        </w:rPr>
        <w:t xml:space="preserve">inclusive porque </w:t>
      </w:r>
      <w:r w:rsidR="009E2B5E" w:rsidRPr="00C76D6E">
        <w:rPr>
          <w:rFonts w:ascii="Arial" w:hAnsi="Arial" w:cs="Arial"/>
          <w:b/>
          <w:sz w:val="23"/>
          <w:szCs w:val="23"/>
        </w:rPr>
        <w:t>tais serviços são perfeitamente licitáveis mediante a definição de padrões mínimos de qualidade</w:t>
      </w:r>
      <w:r w:rsidR="00B84E98" w:rsidRPr="00C76D6E">
        <w:rPr>
          <w:rFonts w:ascii="Arial" w:hAnsi="Arial" w:cs="Arial"/>
          <w:b/>
          <w:sz w:val="23"/>
          <w:szCs w:val="23"/>
        </w:rPr>
        <w:t xml:space="preserve"> na fase de </w:t>
      </w:r>
      <w:r w:rsidR="00B84E98" w:rsidRPr="00C76D6E">
        <w:rPr>
          <w:rFonts w:ascii="Arial" w:hAnsi="Arial" w:cs="Arial"/>
          <w:b/>
          <w:sz w:val="23"/>
          <w:szCs w:val="23"/>
        </w:rPr>
        <w:lastRenderedPageBreak/>
        <w:t>especificação</w:t>
      </w:r>
      <w:r w:rsidR="009E2B5E" w:rsidRPr="00C76D6E">
        <w:rPr>
          <w:rFonts w:ascii="Arial" w:hAnsi="Arial" w:cs="Arial"/>
          <w:b/>
          <w:sz w:val="23"/>
          <w:szCs w:val="23"/>
        </w:rPr>
        <w:t xml:space="preserve">, que </w:t>
      </w:r>
      <w:r w:rsidR="002B5802" w:rsidRPr="00C76D6E">
        <w:rPr>
          <w:rFonts w:ascii="Arial" w:hAnsi="Arial" w:cs="Arial"/>
          <w:b/>
          <w:sz w:val="23"/>
          <w:szCs w:val="23"/>
        </w:rPr>
        <w:t>garantam a segurança</w:t>
      </w:r>
      <w:r w:rsidR="00C76D6E">
        <w:rPr>
          <w:rFonts w:ascii="Arial" w:hAnsi="Arial" w:cs="Arial"/>
          <w:b/>
          <w:sz w:val="23"/>
          <w:szCs w:val="23"/>
        </w:rPr>
        <w:t>, adequação</w:t>
      </w:r>
      <w:r w:rsidR="002B5802" w:rsidRPr="00C76D6E">
        <w:rPr>
          <w:rFonts w:ascii="Arial" w:hAnsi="Arial" w:cs="Arial"/>
          <w:b/>
          <w:sz w:val="23"/>
          <w:szCs w:val="23"/>
        </w:rPr>
        <w:t xml:space="preserve"> e o conforto dos usuários e que </w:t>
      </w:r>
      <w:r w:rsidR="009E2B5E" w:rsidRPr="00C76D6E">
        <w:rPr>
          <w:rFonts w:ascii="Arial" w:hAnsi="Arial" w:cs="Arial"/>
          <w:b/>
          <w:sz w:val="23"/>
          <w:szCs w:val="23"/>
        </w:rPr>
        <w:t xml:space="preserve">devem ser satisfeitos por </w:t>
      </w:r>
      <w:r w:rsidR="009E2B5E" w:rsidRPr="00C76D6E">
        <w:rPr>
          <w:rFonts w:ascii="Arial" w:hAnsi="Arial" w:cs="Arial"/>
          <w:b/>
          <w:sz w:val="23"/>
          <w:szCs w:val="23"/>
          <w:u w:val="single"/>
        </w:rPr>
        <w:t>todos</w:t>
      </w:r>
      <w:r w:rsidR="009E2B5E" w:rsidRPr="00C76D6E">
        <w:rPr>
          <w:rFonts w:ascii="Arial" w:hAnsi="Arial" w:cs="Arial"/>
          <w:b/>
          <w:sz w:val="23"/>
          <w:szCs w:val="23"/>
        </w:rPr>
        <w:t xml:space="preserve"> os concorrentes</w:t>
      </w:r>
      <w:r w:rsidR="009E2B5E">
        <w:rPr>
          <w:rFonts w:ascii="Arial" w:hAnsi="Arial" w:cs="Arial"/>
          <w:sz w:val="23"/>
          <w:szCs w:val="23"/>
        </w:rPr>
        <w:t>.</w:t>
      </w:r>
    </w:p>
    <w:p w:rsidR="00DF032F" w:rsidRDefault="003C4D8B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Quer se dizer com isso que </w:t>
      </w:r>
      <w:r w:rsidRPr="007A0B8F">
        <w:rPr>
          <w:rFonts w:ascii="Arial" w:hAnsi="Arial" w:cs="Arial"/>
          <w:sz w:val="23"/>
          <w:szCs w:val="23"/>
          <w:u w:val="single"/>
        </w:rPr>
        <w:t xml:space="preserve">a adoção do tipo </w:t>
      </w:r>
      <w:r w:rsidR="007A0B8F" w:rsidRPr="007A0B8F">
        <w:rPr>
          <w:rFonts w:ascii="Arial" w:hAnsi="Arial" w:cs="Arial"/>
          <w:sz w:val="23"/>
          <w:szCs w:val="23"/>
          <w:u w:val="single"/>
        </w:rPr>
        <w:t>“melhor proposta em razão da combinação dos critérios de menor valor da tarifa do serviço público a ser prestado com o de melhor técnica”, conforme previsto no preâmbulo e no item 14.2.1, não encontra amparo legal, por ser inadequado à natureza do objeto licitado</w:t>
      </w:r>
      <w:r w:rsidR="007A0B8F">
        <w:rPr>
          <w:rFonts w:ascii="Arial" w:hAnsi="Arial" w:cs="Arial"/>
          <w:sz w:val="23"/>
          <w:szCs w:val="23"/>
        </w:rPr>
        <w:t>.</w:t>
      </w:r>
    </w:p>
    <w:p w:rsidR="00003692" w:rsidRDefault="002B51A4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Há que se destacar, por oportuno, que não se trata aqui de mera irregularidade formal, mas de </w:t>
      </w:r>
      <w:r w:rsidRPr="00C76D6E">
        <w:rPr>
          <w:rFonts w:ascii="Arial" w:hAnsi="Arial" w:cs="Arial"/>
          <w:sz w:val="23"/>
          <w:szCs w:val="23"/>
          <w:u w:val="single"/>
        </w:rPr>
        <w:t xml:space="preserve">violação à lei que </w:t>
      </w:r>
      <w:r w:rsidR="00297414" w:rsidRPr="00C76D6E">
        <w:rPr>
          <w:rFonts w:ascii="Arial" w:hAnsi="Arial" w:cs="Arial"/>
          <w:sz w:val="23"/>
          <w:szCs w:val="23"/>
          <w:u w:val="single"/>
        </w:rPr>
        <w:t>se reflete nos resultados do certame e compromete o interesse público</w:t>
      </w:r>
      <w:r w:rsidR="00297414">
        <w:rPr>
          <w:rFonts w:ascii="Arial" w:hAnsi="Arial" w:cs="Arial"/>
          <w:sz w:val="23"/>
          <w:szCs w:val="23"/>
        </w:rPr>
        <w:t xml:space="preserve"> cuja satisfação foi almejada com a deflagração da licitação.</w:t>
      </w:r>
      <w:r w:rsidR="00D318A0">
        <w:rPr>
          <w:rFonts w:ascii="Arial" w:hAnsi="Arial" w:cs="Arial"/>
          <w:sz w:val="23"/>
          <w:szCs w:val="23"/>
        </w:rPr>
        <w:t xml:space="preserve"> Explico.</w:t>
      </w:r>
    </w:p>
    <w:p w:rsidR="00995C17" w:rsidRDefault="00995C17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Na licitação em que o julgamento é orientado pela menor tarifa, todos os licitantes devem cumprir os requisitos mínimos definidos na especificação do objeto e vencerá aquele cuja proposta represente o melhor pre</w:t>
      </w:r>
      <w:r w:rsidR="00DD2AD8">
        <w:rPr>
          <w:rFonts w:ascii="Arial" w:hAnsi="Arial" w:cs="Arial"/>
          <w:sz w:val="23"/>
          <w:szCs w:val="23"/>
        </w:rPr>
        <w:t>ço para os usuários do serviço, atendendo em maior escala a modicidade da tarifa, hoje elevada à condição de princípio dentro do microssistema das concessões e permissões.</w:t>
      </w:r>
    </w:p>
    <w:p w:rsidR="001002C7" w:rsidRDefault="00FD33AC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 outro lado, ao se ponderar questões técnicas e o preço oferecido pela tarifa </w:t>
      </w:r>
      <w:r w:rsidR="001002C7">
        <w:rPr>
          <w:rFonts w:ascii="Arial" w:hAnsi="Arial" w:cs="Arial"/>
          <w:sz w:val="23"/>
          <w:szCs w:val="23"/>
        </w:rPr>
        <w:t>durante o julgamento</w:t>
      </w:r>
      <w:r>
        <w:rPr>
          <w:rFonts w:ascii="Arial" w:hAnsi="Arial" w:cs="Arial"/>
          <w:sz w:val="23"/>
          <w:szCs w:val="23"/>
        </w:rPr>
        <w:t xml:space="preserve">, </w:t>
      </w:r>
      <w:r w:rsidR="001002C7">
        <w:rPr>
          <w:rFonts w:ascii="Arial" w:hAnsi="Arial" w:cs="Arial"/>
          <w:sz w:val="23"/>
          <w:szCs w:val="23"/>
        </w:rPr>
        <w:t>abre-se espaço para que propostas com preços elevados sagrem-se vencedoras, onerando</w:t>
      </w:r>
      <w:r w:rsidR="001002C7" w:rsidRPr="001002C7">
        <w:rPr>
          <w:rFonts w:ascii="Arial" w:hAnsi="Arial" w:cs="Arial"/>
          <w:sz w:val="23"/>
          <w:szCs w:val="23"/>
        </w:rPr>
        <w:t xml:space="preserve"> </w:t>
      </w:r>
      <w:r w:rsidR="001002C7">
        <w:rPr>
          <w:rFonts w:ascii="Arial" w:hAnsi="Arial" w:cs="Arial"/>
          <w:sz w:val="23"/>
          <w:szCs w:val="23"/>
        </w:rPr>
        <w:t>os usuários dos serviços pelos longos prazos das concessões.</w:t>
      </w:r>
    </w:p>
    <w:p w:rsidR="001002C7" w:rsidRDefault="001002C7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Isso não seria o maior dos problemas caso a natureza do serviço exigisse um </w:t>
      </w:r>
      <w:r w:rsidR="00715931">
        <w:rPr>
          <w:rFonts w:ascii="Arial" w:hAnsi="Arial" w:cs="Arial"/>
          <w:sz w:val="23"/>
          <w:szCs w:val="23"/>
        </w:rPr>
        <w:t>“</w:t>
      </w:r>
      <w:r>
        <w:rPr>
          <w:rFonts w:ascii="Arial" w:hAnsi="Arial" w:cs="Arial"/>
          <w:sz w:val="23"/>
          <w:szCs w:val="23"/>
        </w:rPr>
        <w:t>plus</w:t>
      </w:r>
      <w:r w:rsidR="00715931">
        <w:rPr>
          <w:rFonts w:ascii="Arial" w:hAnsi="Arial" w:cs="Arial"/>
          <w:sz w:val="23"/>
          <w:szCs w:val="23"/>
        </w:rPr>
        <w:t>”</w:t>
      </w:r>
      <w:r>
        <w:rPr>
          <w:rFonts w:ascii="Arial" w:hAnsi="Arial" w:cs="Arial"/>
          <w:sz w:val="23"/>
          <w:szCs w:val="23"/>
        </w:rPr>
        <w:t xml:space="preserve"> nos quesitos técnicos, sem os quais a prestação do objeto sofresse um decréscimo no grau de atendimento das necessidades públicas, como é o caso da formulação de projetos ou de estudos técnicos, ou da aquisição de produtos com tecnologia sofisticada.</w:t>
      </w:r>
    </w:p>
    <w:p w:rsidR="001002C7" w:rsidRDefault="001002C7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1002C7">
        <w:rPr>
          <w:rFonts w:ascii="Arial" w:hAnsi="Arial" w:cs="Arial"/>
          <w:sz w:val="23"/>
          <w:szCs w:val="23"/>
        </w:rPr>
        <w:t>Não é</w:t>
      </w:r>
      <w:r w:rsidR="003D46F1">
        <w:rPr>
          <w:rFonts w:ascii="Arial" w:hAnsi="Arial" w:cs="Arial"/>
          <w:sz w:val="23"/>
          <w:szCs w:val="23"/>
        </w:rPr>
        <w:t xml:space="preserve"> essa</w:t>
      </w:r>
      <w:r w:rsidRPr="001002C7">
        <w:rPr>
          <w:rFonts w:ascii="Arial" w:hAnsi="Arial" w:cs="Arial"/>
          <w:sz w:val="23"/>
          <w:szCs w:val="23"/>
        </w:rPr>
        <w:t>, porém, a situação que ora se vislumbra</w:t>
      </w:r>
      <w:r w:rsidR="003D46F1">
        <w:rPr>
          <w:rFonts w:ascii="Arial" w:hAnsi="Arial" w:cs="Arial"/>
          <w:sz w:val="23"/>
          <w:szCs w:val="23"/>
        </w:rPr>
        <w:t>, consoante aqui se demonstrará</w:t>
      </w:r>
      <w:r w:rsidRPr="001002C7">
        <w:rPr>
          <w:rFonts w:ascii="Arial" w:hAnsi="Arial" w:cs="Arial"/>
          <w:sz w:val="23"/>
          <w:szCs w:val="23"/>
        </w:rPr>
        <w:t>.</w:t>
      </w:r>
    </w:p>
    <w:p w:rsidR="00921D9A" w:rsidRDefault="003D46F1" w:rsidP="003D46F1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921D9A">
        <w:rPr>
          <w:rFonts w:ascii="Arial" w:hAnsi="Arial" w:cs="Arial"/>
          <w:sz w:val="23"/>
          <w:szCs w:val="23"/>
        </w:rPr>
        <w:lastRenderedPageBreak/>
        <w:t>Na Concorrência nº 016/2015, a proposta técnica é pontuada segundo a avaliação de seis fatores, descritos no Anexo VIII do edital (fl. 571 e seguintes, volume 3), quais sejam:</w:t>
      </w:r>
    </w:p>
    <w:p w:rsidR="003D46F1" w:rsidRPr="00921D9A" w:rsidRDefault="003D46F1" w:rsidP="00921D9A">
      <w:pPr>
        <w:tabs>
          <w:tab w:val="left" w:pos="1418"/>
        </w:tabs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921D9A">
        <w:rPr>
          <w:rFonts w:ascii="Arial" w:hAnsi="Arial" w:cs="Arial"/>
          <w:sz w:val="23"/>
          <w:szCs w:val="23"/>
        </w:rPr>
        <w:tab/>
        <w:t>I: frota (idade, tempo e acessibilidade);</w:t>
      </w:r>
    </w:p>
    <w:p w:rsidR="003D46F1" w:rsidRDefault="003D46F1" w:rsidP="003D46F1">
      <w:pPr>
        <w:tabs>
          <w:tab w:val="left" w:pos="1418"/>
        </w:tabs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II: reaproveitamento de pessoal;</w:t>
      </w:r>
    </w:p>
    <w:p w:rsidR="003D46F1" w:rsidRDefault="003D46F1" w:rsidP="003D46F1">
      <w:pPr>
        <w:tabs>
          <w:tab w:val="left" w:pos="1418"/>
        </w:tabs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III: atestado de experiência em transporte;</w:t>
      </w:r>
    </w:p>
    <w:p w:rsidR="003D46F1" w:rsidRDefault="003D46F1" w:rsidP="003D46F1">
      <w:pPr>
        <w:tabs>
          <w:tab w:val="left" w:pos="1418"/>
        </w:tabs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IV: atestado de experiência em quantidade de veículos;</w:t>
      </w:r>
    </w:p>
    <w:p w:rsidR="003D46F1" w:rsidRDefault="003D46F1" w:rsidP="003D46F1">
      <w:pPr>
        <w:tabs>
          <w:tab w:val="left" w:pos="1418"/>
        </w:tabs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V: atestado de experiência em veículos adaptados;</w:t>
      </w:r>
    </w:p>
    <w:p w:rsidR="003D46F1" w:rsidRPr="001002C7" w:rsidRDefault="003D46F1" w:rsidP="003D46F1">
      <w:pPr>
        <w:tabs>
          <w:tab w:val="left" w:pos="1418"/>
        </w:tabs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VI: estrutura e organização operacional e espacial (qualidade técnica da proposta).</w:t>
      </w:r>
    </w:p>
    <w:p w:rsidR="001002C7" w:rsidRDefault="002950FB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Como bem posto pela </w:t>
      </w:r>
      <w:r w:rsidR="00F24F33">
        <w:rPr>
          <w:rFonts w:ascii="Arial" w:hAnsi="Arial" w:cs="Arial"/>
          <w:sz w:val="23"/>
          <w:szCs w:val="23"/>
        </w:rPr>
        <w:t>CFCPPP</w:t>
      </w:r>
      <w:r>
        <w:rPr>
          <w:rFonts w:ascii="Arial" w:hAnsi="Arial" w:cs="Arial"/>
          <w:sz w:val="23"/>
          <w:szCs w:val="23"/>
        </w:rPr>
        <w:t xml:space="preserve">, </w:t>
      </w:r>
      <w:r w:rsidR="007415A2">
        <w:rPr>
          <w:rFonts w:ascii="Arial" w:hAnsi="Arial" w:cs="Arial"/>
          <w:sz w:val="23"/>
          <w:szCs w:val="23"/>
        </w:rPr>
        <w:t xml:space="preserve">tais quesitos não se mostram </w:t>
      </w:r>
      <w:r w:rsidR="00F24F33">
        <w:rPr>
          <w:rFonts w:ascii="Arial" w:hAnsi="Arial" w:cs="Arial"/>
          <w:sz w:val="23"/>
          <w:szCs w:val="23"/>
        </w:rPr>
        <w:t>adequados para composição da proposta técnica, sendo vários os motivos.</w:t>
      </w:r>
    </w:p>
    <w:p w:rsidR="00F24F33" w:rsidRDefault="00F24F33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No que concerne à frota, o prazo de disponibilização favorece imotivadamente a empresa que já presta o serviço, além de o </w:t>
      </w:r>
      <w:r w:rsidR="001B63C7">
        <w:rPr>
          <w:rFonts w:ascii="Arial" w:hAnsi="Arial" w:cs="Arial"/>
          <w:sz w:val="23"/>
          <w:szCs w:val="23"/>
        </w:rPr>
        <w:t xml:space="preserve">fator </w:t>
      </w:r>
      <w:r>
        <w:rPr>
          <w:rFonts w:ascii="Arial" w:hAnsi="Arial" w:cs="Arial"/>
          <w:sz w:val="23"/>
          <w:szCs w:val="23"/>
        </w:rPr>
        <w:t>não representar acréscimo qualitativo para a prestação do serviço.</w:t>
      </w:r>
      <w:r w:rsidR="007F7E3D">
        <w:rPr>
          <w:rFonts w:ascii="Arial" w:hAnsi="Arial" w:cs="Arial"/>
          <w:sz w:val="23"/>
          <w:szCs w:val="23"/>
        </w:rPr>
        <w:t xml:space="preserve"> A acessibilidade, a seu turno, já foi imposta a todos os veículos de transporte coletivo pelo art. 38 da Lei nº 10.098, de 2000</w:t>
      </w:r>
      <w:r w:rsidR="00ED78A1">
        <w:rPr>
          <w:rFonts w:ascii="Arial" w:hAnsi="Arial" w:cs="Arial"/>
          <w:sz w:val="23"/>
          <w:szCs w:val="23"/>
        </w:rPr>
        <w:t>, não havendo que se pontuar o que já é obrigação legal.</w:t>
      </w:r>
    </w:p>
    <w:p w:rsidR="00F24F33" w:rsidRDefault="00F24F33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Os atestados de experiência, por sua vez, poderiam ser exigidos de todos os licitantes como requisitos de habilitação técnico-operacional, já que não têm o condão de demonstrar </w:t>
      </w:r>
      <w:r w:rsidR="00715931">
        <w:rPr>
          <w:rFonts w:ascii="Arial" w:hAnsi="Arial" w:cs="Arial"/>
          <w:sz w:val="23"/>
          <w:szCs w:val="23"/>
        </w:rPr>
        <w:t>qualquer melhoria</w:t>
      </w:r>
      <w:r>
        <w:rPr>
          <w:rFonts w:ascii="Arial" w:hAnsi="Arial" w:cs="Arial"/>
          <w:sz w:val="23"/>
          <w:szCs w:val="23"/>
        </w:rPr>
        <w:t xml:space="preserve"> na qualidade da execução do serviço.</w:t>
      </w:r>
    </w:p>
    <w:p w:rsidR="00FD33AC" w:rsidRDefault="00735B99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Outrossim, o reaproveitamento de pessoal, além de não representar maior ou menor qualidade técnica do serviço, é critério subjetivo, inclusive porque depende do interesse dos funcionários na mudança de empresa, favorecendo, mais uma vez, a atual prestadora dos serviços.</w:t>
      </w:r>
    </w:p>
    <w:p w:rsidR="00715931" w:rsidRDefault="00404D72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0E5533">
        <w:rPr>
          <w:rFonts w:ascii="Arial" w:hAnsi="Arial" w:cs="Arial"/>
          <w:sz w:val="23"/>
          <w:szCs w:val="23"/>
        </w:rPr>
        <w:t xml:space="preserve">Por fim, </w:t>
      </w:r>
      <w:r w:rsidR="001B63C7" w:rsidRPr="000E5533">
        <w:rPr>
          <w:rFonts w:ascii="Arial" w:hAnsi="Arial" w:cs="Arial"/>
          <w:sz w:val="23"/>
          <w:szCs w:val="23"/>
        </w:rPr>
        <w:t xml:space="preserve">consoante conclusão da Unidade Técnica, o quesito referente à estrutura e à organização operacional e espacial apresenta inegável subjetividade, uma </w:t>
      </w:r>
      <w:r w:rsidR="001B63C7" w:rsidRPr="000E5533">
        <w:rPr>
          <w:rFonts w:ascii="Arial" w:hAnsi="Arial" w:cs="Arial"/>
          <w:sz w:val="23"/>
          <w:szCs w:val="23"/>
        </w:rPr>
        <w:lastRenderedPageBreak/>
        <w:t xml:space="preserve">vez que os modelos constantes das propostas podem utilizar metodologias diferentes, com repercussão no resultado final. </w:t>
      </w:r>
      <w:r w:rsidR="000E5533">
        <w:rPr>
          <w:rFonts w:ascii="Arial" w:hAnsi="Arial" w:cs="Arial"/>
          <w:sz w:val="23"/>
          <w:szCs w:val="23"/>
        </w:rPr>
        <w:t>Ademais, tal critério a</w:t>
      </w:r>
      <w:r w:rsidR="00957F5E">
        <w:rPr>
          <w:rFonts w:ascii="Arial" w:hAnsi="Arial" w:cs="Arial"/>
          <w:sz w:val="23"/>
          <w:szCs w:val="23"/>
        </w:rPr>
        <w:t xml:space="preserve">penas avalia a habilidade com </w:t>
      </w:r>
      <w:r w:rsidR="000E5533">
        <w:rPr>
          <w:rFonts w:ascii="Arial" w:hAnsi="Arial" w:cs="Arial"/>
          <w:sz w:val="23"/>
          <w:szCs w:val="23"/>
        </w:rPr>
        <w:t xml:space="preserve">programação operacional de transportes, que, como será apurada apenas na proposta, poderia ser terceirizada pelos licitantes para consultores. </w:t>
      </w:r>
    </w:p>
    <w:p w:rsidR="00404D72" w:rsidRPr="000E5533" w:rsidRDefault="001B63C7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0E5533">
        <w:rPr>
          <w:rFonts w:ascii="Arial" w:hAnsi="Arial" w:cs="Arial"/>
          <w:sz w:val="23"/>
          <w:szCs w:val="23"/>
        </w:rPr>
        <w:t xml:space="preserve">Além disso, </w:t>
      </w:r>
      <w:r w:rsidR="004B33B2" w:rsidRPr="000E5533">
        <w:rPr>
          <w:rFonts w:ascii="Arial" w:hAnsi="Arial" w:cs="Arial"/>
          <w:sz w:val="23"/>
          <w:szCs w:val="23"/>
        </w:rPr>
        <w:t>os dados fornecidos pelo Município somente podem ser importados por softwares comerciais para planejamento de transportes, com elevadíssimo custo e consequente reflexo na restrição da competitividade.</w:t>
      </w:r>
    </w:p>
    <w:p w:rsidR="00393FE3" w:rsidRDefault="003F6ACC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Evidente, pois, que todos os critérios avaliados na proposta técnica são ilegais ou de pequena relevância para demonstrar o diferencial técnico do serviço prestado</w:t>
      </w:r>
      <w:r w:rsidR="00393FE3">
        <w:rPr>
          <w:rFonts w:ascii="Arial" w:hAnsi="Arial" w:cs="Arial"/>
          <w:sz w:val="23"/>
          <w:szCs w:val="23"/>
        </w:rPr>
        <w:t>.</w:t>
      </w:r>
    </w:p>
    <w:p w:rsidR="00393FE3" w:rsidRDefault="00393FE3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Apesar disso, esses fatores impertinentes têm o condão de influenciar 70% da proposta, em face do que dispõe o item 14.2.6, relegando papel secundário ao preço da tarifa, que é o que, de fato, representa o interesse público primário e repercute na realidade dos cidadãos.</w:t>
      </w:r>
    </w:p>
    <w:p w:rsidR="00393FE3" w:rsidRDefault="00393FE3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</w:t>
      </w:r>
      <w:r w:rsidR="00BF54DF">
        <w:rPr>
          <w:rFonts w:ascii="Arial" w:hAnsi="Arial" w:cs="Arial"/>
          <w:sz w:val="23"/>
          <w:szCs w:val="23"/>
        </w:rPr>
        <w:t xml:space="preserve"> efeito, por não estar caracterizado objeto de natureza predominantemente intelectual ou majoritariamente dependente de tecnologia sofisticada e de domínio restrito, </w:t>
      </w:r>
      <w:r w:rsidR="00264539">
        <w:rPr>
          <w:rFonts w:ascii="Arial" w:hAnsi="Arial" w:cs="Arial"/>
          <w:sz w:val="23"/>
          <w:szCs w:val="23"/>
        </w:rPr>
        <w:t xml:space="preserve">entendemos que a adoção do tipo “melhor proposta em razão da combinação dos critérios de menor valor da tarifa do serviço público a ser prestado com o de melhor técnica” </w:t>
      </w:r>
      <w:r w:rsidR="00264539" w:rsidRPr="00264539">
        <w:rPr>
          <w:rFonts w:ascii="Arial" w:hAnsi="Arial" w:cs="Arial"/>
          <w:sz w:val="23"/>
          <w:szCs w:val="23"/>
          <w:u w:val="single"/>
        </w:rPr>
        <w:t xml:space="preserve">contraria o art. 46, </w:t>
      </w:r>
      <w:r w:rsidR="00264539" w:rsidRPr="00264539">
        <w:rPr>
          <w:rFonts w:ascii="Arial" w:hAnsi="Arial" w:cs="Arial"/>
          <w:i/>
          <w:sz w:val="23"/>
          <w:szCs w:val="23"/>
          <w:u w:val="single"/>
        </w:rPr>
        <w:t>caput</w:t>
      </w:r>
      <w:r w:rsidR="00264539" w:rsidRPr="00264539">
        <w:rPr>
          <w:rFonts w:ascii="Arial" w:hAnsi="Arial" w:cs="Arial"/>
          <w:sz w:val="23"/>
          <w:szCs w:val="23"/>
          <w:u w:val="single"/>
        </w:rPr>
        <w:t xml:space="preserve"> e §3º, da Lei nº 8.666, de 1993, com grave comprometimento da economicidade e da vantajosidade da contratação, bem como da modicidade da tarifa</w:t>
      </w:r>
      <w:r w:rsidR="00264539">
        <w:rPr>
          <w:rFonts w:ascii="Arial" w:hAnsi="Arial" w:cs="Arial"/>
          <w:sz w:val="23"/>
          <w:szCs w:val="23"/>
        </w:rPr>
        <w:t>, todos princípios orientadores das licitações e das concessões de serviços públicos.</w:t>
      </w:r>
    </w:p>
    <w:p w:rsidR="00264539" w:rsidRDefault="00264539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ilegalidade é </w:t>
      </w:r>
      <w:r w:rsidR="00ED51C6">
        <w:rPr>
          <w:rFonts w:ascii="Arial" w:hAnsi="Arial" w:cs="Arial"/>
          <w:sz w:val="23"/>
          <w:szCs w:val="23"/>
        </w:rPr>
        <w:t xml:space="preserve">confirmada </w:t>
      </w:r>
      <w:r w:rsidR="00520C3E">
        <w:rPr>
          <w:rFonts w:ascii="Arial" w:hAnsi="Arial" w:cs="Arial"/>
          <w:sz w:val="23"/>
          <w:szCs w:val="23"/>
        </w:rPr>
        <w:t>pela inadequação dos critérios utilizados para avaliação da proposta técnica e da sua sobrevalorização, havendo indicativos, inclusive em face da recomendação encaminhada pela 2ª Promotoria de Justiça da Comarca de Mariana</w:t>
      </w:r>
      <w:r w:rsidR="00885A82">
        <w:rPr>
          <w:rFonts w:ascii="Arial" w:hAnsi="Arial" w:cs="Arial"/>
          <w:sz w:val="23"/>
          <w:szCs w:val="23"/>
        </w:rPr>
        <w:t xml:space="preserve"> (fls. 736/738)</w:t>
      </w:r>
      <w:r w:rsidR="00520C3E">
        <w:rPr>
          <w:rFonts w:ascii="Arial" w:hAnsi="Arial" w:cs="Arial"/>
          <w:sz w:val="23"/>
          <w:szCs w:val="23"/>
        </w:rPr>
        <w:t>, de direcionamento da licitação de modo a beneficiar a atual prestadora de serviços.</w:t>
      </w:r>
    </w:p>
    <w:p w:rsidR="00520C3E" w:rsidRDefault="00A7294F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Aliás, </w:t>
      </w:r>
      <w:r w:rsidR="00B7150F">
        <w:rPr>
          <w:rFonts w:ascii="Arial" w:hAnsi="Arial" w:cs="Arial"/>
          <w:sz w:val="23"/>
          <w:szCs w:val="23"/>
        </w:rPr>
        <w:t>o resultado da análise</w:t>
      </w:r>
      <w:r>
        <w:rPr>
          <w:rFonts w:ascii="Arial" w:hAnsi="Arial" w:cs="Arial"/>
          <w:sz w:val="23"/>
          <w:szCs w:val="23"/>
        </w:rPr>
        <w:t xml:space="preserve"> da</w:t>
      </w:r>
      <w:r w:rsidR="00B7150F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 proposta</w:t>
      </w:r>
      <w:r w:rsidR="00B7150F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 técnica</w:t>
      </w:r>
      <w:r w:rsidR="00B7150F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, </w:t>
      </w:r>
      <w:r w:rsidR="00B7150F">
        <w:rPr>
          <w:rFonts w:ascii="Arial" w:hAnsi="Arial" w:cs="Arial"/>
          <w:sz w:val="23"/>
          <w:szCs w:val="23"/>
        </w:rPr>
        <w:t xml:space="preserve">veiculado na ata </w:t>
      </w:r>
      <w:r>
        <w:rPr>
          <w:rFonts w:ascii="Arial" w:hAnsi="Arial" w:cs="Arial"/>
          <w:sz w:val="23"/>
          <w:szCs w:val="23"/>
        </w:rPr>
        <w:t>acostada às fls. 2385/2386, reforça</w:t>
      </w:r>
      <w:r w:rsidR="00B7150F">
        <w:rPr>
          <w:rFonts w:ascii="Arial" w:hAnsi="Arial" w:cs="Arial"/>
          <w:sz w:val="23"/>
          <w:szCs w:val="23"/>
        </w:rPr>
        <w:t xml:space="preserve"> tais indícios, estando classificada em primeiro lugar </w:t>
      </w:r>
      <w:r w:rsidR="00B7150F">
        <w:rPr>
          <w:rFonts w:ascii="Arial" w:hAnsi="Arial" w:cs="Arial"/>
          <w:sz w:val="23"/>
          <w:szCs w:val="23"/>
        </w:rPr>
        <w:lastRenderedPageBreak/>
        <w:t>e com larga vantagem a empresa Transcotta Agência de Viagens Ltda., que presta os serviços no Município há décadas.</w:t>
      </w:r>
    </w:p>
    <w:p w:rsidR="00B7150F" w:rsidRDefault="00B7150F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Por esses motivos, </w:t>
      </w:r>
      <w:r w:rsidRPr="003A6CE3">
        <w:rPr>
          <w:rFonts w:ascii="Arial" w:hAnsi="Arial" w:cs="Arial"/>
          <w:sz w:val="23"/>
          <w:szCs w:val="23"/>
          <w:u w:val="single"/>
        </w:rPr>
        <w:t>opinamos pela citação do Prefeito Municipal, Celso Cota Neto, do Presidente da Comissão Permanente de Licitação, Marlon Paulo Figueiredo Silva, e do Procurador Geral do Município, José Celso dos Santos</w:t>
      </w:r>
      <w:r>
        <w:rPr>
          <w:rFonts w:ascii="Arial" w:hAnsi="Arial" w:cs="Arial"/>
          <w:sz w:val="23"/>
          <w:szCs w:val="23"/>
        </w:rPr>
        <w:t>, subscritores do edital, para que apresentem defesa acerca da ilegalidade aqui indicada.</w:t>
      </w:r>
    </w:p>
    <w:p w:rsidR="00B7150F" w:rsidRDefault="003A6CE3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Nesta oportunidade, à vista da gravidade da irregularidade e dos indícios de direcionamento, sugerimos, caso ainda seja possível, que seja determinada a imediata suspensão da Concorrência Pública nº 016/2015</w:t>
      </w:r>
      <w:r w:rsidR="006701E2">
        <w:rPr>
          <w:rFonts w:ascii="Arial" w:hAnsi="Arial" w:cs="Arial"/>
          <w:sz w:val="23"/>
          <w:szCs w:val="23"/>
        </w:rPr>
        <w:t>, a fim de evitar que os prejuízos se concretizem</w:t>
      </w:r>
      <w:r w:rsidR="002F7FD1">
        <w:rPr>
          <w:rFonts w:ascii="Arial" w:hAnsi="Arial" w:cs="Arial"/>
          <w:sz w:val="23"/>
          <w:szCs w:val="23"/>
        </w:rPr>
        <w:t>.</w:t>
      </w:r>
    </w:p>
    <w:p w:rsidR="008822B7" w:rsidRPr="008822B7" w:rsidRDefault="00622DEF" w:rsidP="008822B7">
      <w:pPr>
        <w:tabs>
          <w:tab w:val="left" w:pos="1418"/>
        </w:tabs>
        <w:spacing w:after="200" w:line="36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Da exigência de patrimônio líquido ou capital social mínimo integralizado</w:t>
      </w:r>
    </w:p>
    <w:p w:rsidR="00393FE3" w:rsidRDefault="0078603C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item 9.1, alínea </w:t>
      </w:r>
      <w:r w:rsidRPr="0078603C">
        <w:rPr>
          <w:rFonts w:ascii="Arial" w:hAnsi="Arial" w:cs="Arial"/>
          <w:i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, insere entre as condições gerais de participação a apresentação, pelos interessados, de “patrimônio líquido ou capital social mínimo de R$ 2.000.000,00 (dois milhões de reais), comprovadamente integralizados até a data da apresentação dos envelopes”, cabendo aqui examinar a congruência do requisito com a legislação.</w:t>
      </w:r>
    </w:p>
    <w:p w:rsidR="0078603C" w:rsidRDefault="0078603C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Esse tema vem regulamentado pela Lei nº 8.666, de 1993, em seu art. 31, §</w:t>
      </w:r>
      <w:r w:rsidR="00DF4212">
        <w:rPr>
          <w:rFonts w:ascii="Arial" w:hAnsi="Arial" w:cs="Arial"/>
          <w:sz w:val="23"/>
          <w:szCs w:val="23"/>
        </w:rPr>
        <w:t xml:space="preserve">§ 2º e </w:t>
      </w:r>
      <w:r>
        <w:rPr>
          <w:rFonts w:ascii="Arial" w:hAnsi="Arial" w:cs="Arial"/>
          <w:sz w:val="23"/>
          <w:szCs w:val="23"/>
        </w:rPr>
        <w:t>3º, inserido</w:t>
      </w:r>
      <w:r w:rsidR="000B4F3D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 entre a documentação de qualificação econômico-financeira, e assim dispõe</w:t>
      </w:r>
      <w:r w:rsidR="000B4F3D"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:</w:t>
      </w:r>
    </w:p>
    <w:p w:rsidR="007B4911" w:rsidRDefault="007B4911" w:rsidP="007B4911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 2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  A Administração, nas compras para entrega futura e na execução de obras e serviços, poderá estabelecer, no instrumento convocatório da licitação, a exigência de capital mínimo ou de patrimônio líquido mínimo, ou ainda as garantias previstas no § 1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do art. 56 desta Lei, como dado objetivo de comprovação da qualificação econômico-financeira dos licitantes e para efeito de garantia ao adimplemento do contrato a ser ulteriormente celebrado.</w:t>
      </w:r>
    </w:p>
    <w:p w:rsidR="00BF2BE5" w:rsidRDefault="00BF2BE5" w:rsidP="00BF2BE5">
      <w:pPr>
        <w:tabs>
          <w:tab w:val="left" w:pos="1418"/>
        </w:tabs>
        <w:spacing w:after="200"/>
        <w:ind w:left="226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0"/>
          <w:szCs w:val="20"/>
        </w:rPr>
        <w:t>§ 3</w:t>
      </w:r>
      <w:r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  O capital mínimo ou o valor do patrimônio líquido a que se refere o parágrafo anterior não poderá exceder a 10% (dez por cento) do valor estimado da contratação, devendo a comprovação ser feita relativamente à data da apresentação da proposta, na forma da lei, admitida a atualização para esta data através de índices oficiais.</w:t>
      </w:r>
    </w:p>
    <w:p w:rsidR="002E4F67" w:rsidRDefault="00DF4212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Ao proceder à interpretação dos dispositivos legais</w:t>
      </w:r>
      <w:r w:rsidR="000B4F3D">
        <w:rPr>
          <w:rFonts w:ascii="Arial" w:hAnsi="Arial" w:cs="Arial"/>
          <w:sz w:val="23"/>
          <w:szCs w:val="23"/>
        </w:rPr>
        <w:t xml:space="preserve"> citados, a doutrina e a jurisprudência vêm destacando a impossibilidade de se exigir a integralização do capital social mínimo, por configurar transbordamento </w:t>
      </w:r>
      <w:r w:rsidR="00E07884">
        <w:rPr>
          <w:rFonts w:ascii="Arial" w:hAnsi="Arial" w:cs="Arial"/>
          <w:sz w:val="23"/>
          <w:szCs w:val="23"/>
        </w:rPr>
        <w:t>do texto da lei, cujo rol é exaustivo.</w:t>
      </w:r>
    </w:p>
    <w:p w:rsidR="00E07884" w:rsidRDefault="00E07884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Com o mesmo entendimento, manifesta-se reiteradamente o Tribunal de Contas da União, consoante </w:t>
      </w:r>
      <w:r w:rsidR="0089083C">
        <w:rPr>
          <w:rFonts w:ascii="Arial" w:hAnsi="Arial" w:cs="Arial"/>
          <w:sz w:val="23"/>
          <w:szCs w:val="23"/>
        </w:rPr>
        <w:t>excerto que se segue</w:t>
      </w:r>
      <w:r>
        <w:rPr>
          <w:rFonts w:ascii="Arial" w:hAnsi="Arial" w:cs="Arial"/>
          <w:sz w:val="23"/>
          <w:szCs w:val="23"/>
        </w:rPr>
        <w:t>:</w:t>
      </w:r>
    </w:p>
    <w:p w:rsidR="000B4F3D" w:rsidRDefault="00913185" w:rsidP="000B4F3D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0B4F3D" w:rsidRPr="000B4F3D">
        <w:rPr>
          <w:rFonts w:ascii="Arial" w:hAnsi="Arial" w:cs="Arial"/>
          <w:sz w:val="20"/>
          <w:szCs w:val="20"/>
        </w:rPr>
        <w:t xml:space="preserve">[É indevida a exigência cumulativa de capital social mínimo e garantia de participação, sendo </w:t>
      </w:r>
      <w:r w:rsidR="000B4F3D" w:rsidRPr="00913185">
        <w:rPr>
          <w:rFonts w:ascii="Arial" w:hAnsi="Arial" w:cs="Arial"/>
          <w:sz w:val="20"/>
          <w:szCs w:val="20"/>
          <w:u w:val="single"/>
        </w:rPr>
        <w:t>igualmente incabível requerer que o capital social mínimo seja integralizado</w:t>
      </w:r>
      <w:r w:rsidR="000B4F3D" w:rsidRPr="000B4F3D">
        <w:rPr>
          <w:rFonts w:ascii="Arial" w:hAnsi="Arial" w:cs="Arial"/>
          <w:sz w:val="20"/>
          <w:szCs w:val="20"/>
        </w:rPr>
        <w:t>.]</w:t>
      </w:r>
    </w:p>
    <w:p w:rsidR="000B4F3D" w:rsidRDefault="000B4F3D" w:rsidP="000B4F3D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0B4F3D">
        <w:rPr>
          <w:rFonts w:ascii="Arial" w:hAnsi="Arial" w:cs="Arial"/>
          <w:sz w:val="20"/>
          <w:szCs w:val="20"/>
        </w:rPr>
        <w:t>[RELATÓRIO]</w:t>
      </w:r>
    </w:p>
    <w:p w:rsidR="000B4F3D" w:rsidRDefault="000B4F3D" w:rsidP="000B4F3D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0B4F3D">
        <w:rPr>
          <w:rFonts w:ascii="Arial" w:hAnsi="Arial" w:cs="Arial"/>
          <w:sz w:val="20"/>
          <w:szCs w:val="20"/>
        </w:rPr>
        <w:t>23. [...], o edital condiciona a participação no certame licitatório à comprovação de capital social integralizado de no mínimo 10% (dez por cento) do valor total do objeto. Ainda, [...] estabelece a necessidade de garantia de participação, equivalente a 1% (um por cento) do valor estimado do objeto.</w:t>
      </w:r>
    </w:p>
    <w:p w:rsidR="000B4F3D" w:rsidRDefault="000B4F3D" w:rsidP="000B4F3D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0B4F3D">
        <w:rPr>
          <w:rFonts w:ascii="Arial" w:hAnsi="Arial" w:cs="Arial"/>
          <w:sz w:val="20"/>
          <w:szCs w:val="20"/>
        </w:rPr>
        <w:t xml:space="preserve">24. </w:t>
      </w:r>
      <w:r w:rsidRPr="00913185">
        <w:rPr>
          <w:rFonts w:ascii="Arial" w:hAnsi="Arial" w:cs="Arial"/>
          <w:sz w:val="20"/>
          <w:szCs w:val="20"/>
          <w:u w:val="single"/>
        </w:rPr>
        <w:t>A Lei de Licitações em seu artigo 31, §§2º e 3º, em que pese admitir a exigência de capital mínimo ou patrimônio líquido, limitado a 10% (dez por cento) do valor estimado da contratação para execução de obra, em nenhum momento estabelece a necessidade de que essa comprovação se faça sobre o capital integralizado da empresa</w:t>
      </w:r>
      <w:r w:rsidRPr="000B4F3D">
        <w:rPr>
          <w:rFonts w:ascii="Arial" w:hAnsi="Arial" w:cs="Arial"/>
          <w:sz w:val="20"/>
          <w:szCs w:val="20"/>
        </w:rPr>
        <w:t>. Também a jurisprudência deste Tribunal considera indevida tal exigência, que restringe a competitividade do processo licitatório, uma vez que apenas empresas de maior porte atenderiam ao montante estabelecido pelo edital. Nesse sentido é o entendimento do Acórdão 113/2009-Plenário.</w:t>
      </w:r>
    </w:p>
    <w:p w:rsidR="000B4F3D" w:rsidRDefault="000B4F3D" w:rsidP="000B4F3D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0B4F3D">
        <w:rPr>
          <w:rFonts w:ascii="Arial" w:hAnsi="Arial" w:cs="Arial"/>
          <w:sz w:val="20"/>
          <w:szCs w:val="20"/>
        </w:rPr>
        <w:t>25. O mesmo artigo 31, §2º, dispõe que a Administração pode exigir, alternativamente, percentual mínimo do capital social ou patrimônio líquido, ou a prestação de garantia da proposta. A exigência simultânea de ambos, como ocorre no edital [...], configura novamente situação restritiva da competitividade do certame e contraria os preceitos da lei e da jurisprudência desta Casa, como é o caso do Acórdão 326/2010-Plenário.</w:t>
      </w:r>
    </w:p>
    <w:p w:rsidR="000B4F3D" w:rsidRDefault="000B4F3D" w:rsidP="000B4F3D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0B4F3D">
        <w:rPr>
          <w:rFonts w:ascii="Arial" w:hAnsi="Arial" w:cs="Arial"/>
          <w:sz w:val="20"/>
          <w:szCs w:val="20"/>
        </w:rPr>
        <w:t>[VOTO]</w:t>
      </w:r>
    </w:p>
    <w:p w:rsidR="000B4F3D" w:rsidRDefault="000B4F3D" w:rsidP="000B4F3D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0B4F3D">
        <w:rPr>
          <w:rFonts w:ascii="Arial" w:hAnsi="Arial" w:cs="Arial"/>
          <w:sz w:val="20"/>
          <w:szCs w:val="20"/>
        </w:rPr>
        <w:t>c) necessidade, também para habilitação, de comprovação de capital social integralizado de no mínimo 10% do valor estimado do contrato, cumulativamente com exigência de garantia da proposta equivalente a 1% desse valor [...], em desacordo com o art. 31, §§ 2º e 3º, da Lei 8.666/1993;</w:t>
      </w:r>
    </w:p>
    <w:p w:rsidR="000B4F3D" w:rsidRDefault="000B4F3D" w:rsidP="000B4F3D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0B4F3D">
        <w:rPr>
          <w:rFonts w:ascii="Arial" w:hAnsi="Arial" w:cs="Arial"/>
          <w:sz w:val="20"/>
          <w:szCs w:val="20"/>
        </w:rPr>
        <w:t>[...]</w:t>
      </w:r>
      <w:r w:rsidRPr="000B4F3D">
        <w:rPr>
          <w:rFonts w:ascii="Arial" w:hAnsi="Arial" w:cs="Arial"/>
          <w:sz w:val="20"/>
          <w:szCs w:val="20"/>
        </w:rPr>
        <w:br/>
        <w:t>24. [...], de acordo com a Lei 8.666/1993 (art. 31, inciso III e §§ 2º e 3º) e a jurisprudência do TCU (súmula 275), não pode constar de editais de licitações a exigência cumulativa de comprovação de patrimônio líquido e capital social mínimo, ou de patrimônio líquido e garantia de participação, ou de capital social mínimo e garantia de participação, nem se requerer que o capital social mínimo seja integralizado (acórdão 887/2013 - Plenário, por exemplo), como ocorreu no caso em tela.</w:t>
      </w:r>
    </w:p>
    <w:p w:rsidR="00913185" w:rsidRDefault="000B4F3D" w:rsidP="000B4F3D">
      <w:pPr>
        <w:tabs>
          <w:tab w:val="left" w:pos="141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0B4F3D">
        <w:rPr>
          <w:rFonts w:ascii="Arial" w:hAnsi="Arial" w:cs="Arial"/>
          <w:sz w:val="20"/>
          <w:szCs w:val="20"/>
        </w:rPr>
        <w:t>[...]</w:t>
      </w:r>
      <w:r w:rsidRPr="000B4F3D">
        <w:rPr>
          <w:rFonts w:ascii="Arial" w:hAnsi="Arial" w:cs="Arial"/>
          <w:sz w:val="20"/>
          <w:szCs w:val="20"/>
        </w:rPr>
        <w:br/>
        <w:t>32. De todo o exposto, concluo que o edital da concorrência [...], de fato, apresentou diversas cláusulas em desacordo como a Lei de Licitações e Contratos e com a jurisprudência deste Tribunal, situação que, aliada à materialidade do ajuste [...], justifica a aplicação aos gestores da multa sugerida.</w:t>
      </w:r>
      <w:r w:rsidRPr="000B4F3D">
        <w:rPr>
          <w:rFonts w:ascii="Arial" w:hAnsi="Arial" w:cs="Arial"/>
          <w:sz w:val="20"/>
          <w:szCs w:val="20"/>
        </w:rPr>
        <w:br/>
      </w:r>
      <w:r w:rsidRPr="000B4F3D">
        <w:rPr>
          <w:rFonts w:ascii="Arial" w:hAnsi="Arial" w:cs="Arial"/>
          <w:sz w:val="20"/>
          <w:szCs w:val="20"/>
        </w:rPr>
        <w:lastRenderedPageBreak/>
        <w:t>[ACÓRDÃO]</w:t>
      </w:r>
      <w:r w:rsidRPr="000B4F3D">
        <w:rPr>
          <w:rFonts w:ascii="Arial" w:hAnsi="Arial" w:cs="Arial"/>
          <w:sz w:val="20"/>
          <w:szCs w:val="20"/>
        </w:rPr>
        <w:br/>
        <w:t>9.1. conhecer da representação e considerá-la parcialmente procedente;</w:t>
      </w:r>
    </w:p>
    <w:p w:rsidR="000B4F3D" w:rsidRPr="000B4F3D" w:rsidRDefault="000B4F3D" w:rsidP="00D302D3">
      <w:pPr>
        <w:tabs>
          <w:tab w:val="left" w:pos="1418"/>
        </w:tabs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0B4F3D">
        <w:rPr>
          <w:rFonts w:ascii="Arial" w:hAnsi="Arial" w:cs="Arial"/>
          <w:sz w:val="20"/>
          <w:szCs w:val="20"/>
        </w:rPr>
        <w:t>[...]</w:t>
      </w:r>
      <w:r w:rsidRPr="000B4F3D">
        <w:rPr>
          <w:rFonts w:ascii="Arial" w:hAnsi="Arial" w:cs="Arial"/>
          <w:sz w:val="20"/>
          <w:szCs w:val="20"/>
        </w:rPr>
        <w:br/>
        <w:t>9.3. aplicar a [responsável 1] e a [responsável 2] multa individual [...];</w:t>
      </w:r>
      <w:r w:rsidR="00913185">
        <w:rPr>
          <w:rFonts w:ascii="Arial" w:hAnsi="Arial" w:cs="Arial"/>
          <w:sz w:val="20"/>
          <w:szCs w:val="20"/>
        </w:rPr>
        <w:t>”</w:t>
      </w:r>
      <w:r w:rsidR="00913185">
        <w:rPr>
          <w:rStyle w:val="Refdenotaderodap"/>
          <w:rFonts w:ascii="Arial" w:hAnsi="Arial" w:cs="Arial"/>
          <w:sz w:val="20"/>
          <w:szCs w:val="20"/>
        </w:rPr>
        <w:footnoteReference w:id="3"/>
      </w:r>
    </w:p>
    <w:p w:rsidR="002E4F67" w:rsidRDefault="00367A44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Deste modo, haja vista o silêncio da lei em relação à integralização do capital social, fica impedida a Administração de exigi-la sob a condição de habilitação econômico-financeira, avaliando a saúde financeira das empresas licitantes, se for o caso, por meio dos índices contábeis.</w:t>
      </w:r>
    </w:p>
    <w:p w:rsidR="003C4D8B" w:rsidRPr="00FA0314" w:rsidRDefault="009A4182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FA0314">
        <w:rPr>
          <w:rFonts w:ascii="Arial" w:hAnsi="Arial" w:cs="Arial"/>
          <w:sz w:val="23"/>
          <w:szCs w:val="23"/>
        </w:rPr>
        <w:t xml:space="preserve">Com essas ponderações, entendemos ser irregular e restritiva a exigência de integralização do capital social mínimo, constante do item 9.1, </w:t>
      </w:r>
      <w:r w:rsidRPr="00FA0314">
        <w:rPr>
          <w:rFonts w:ascii="Arial" w:hAnsi="Arial" w:cs="Arial"/>
          <w:i/>
          <w:sz w:val="23"/>
          <w:szCs w:val="23"/>
        </w:rPr>
        <w:t>a</w:t>
      </w:r>
      <w:r w:rsidRPr="00FA0314">
        <w:rPr>
          <w:rFonts w:ascii="Arial" w:hAnsi="Arial" w:cs="Arial"/>
          <w:sz w:val="23"/>
          <w:szCs w:val="23"/>
        </w:rPr>
        <w:t>, do edital</w:t>
      </w:r>
      <w:r w:rsidR="00FA0314" w:rsidRPr="00FA0314">
        <w:rPr>
          <w:rFonts w:ascii="Arial" w:hAnsi="Arial" w:cs="Arial"/>
          <w:sz w:val="23"/>
          <w:szCs w:val="23"/>
        </w:rPr>
        <w:t xml:space="preserve">, e sugerimos a citação </w:t>
      </w:r>
      <w:r w:rsidR="00FA0314" w:rsidRPr="00FA0314">
        <w:rPr>
          <w:rFonts w:ascii="Arial" w:hAnsi="Arial" w:cs="Arial"/>
          <w:sz w:val="23"/>
          <w:szCs w:val="23"/>
          <w:u w:val="single"/>
        </w:rPr>
        <w:t>do Prefeito Municipal, Celso Cota Neto, do Presidente da Comissão Permanente de Licitação, Marlon Paulo Figueiredo Silva, e do Procurador Geral do Município, José Celso dos Santos</w:t>
      </w:r>
      <w:r w:rsidR="00FA0314" w:rsidRPr="00FA0314">
        <w:rPr>
          <w:rFonts w:ascii="Arial" w:hAnsi="Arial" w:cs="Arial"/>
          <w:sz w:val="23"/>
          <w:szCs w:val="23"/>
        </w:rPr>
        <w:t>, que o subscreveram, para apresentação de defesa.</w:t>
      </w:r>
    </w:p>
    <w:p w:rsidR="00275FAA" w:rsidRPr="00F10B7C" w:rsidRDefault="00275FAA" w:rsidP="00275FAA">
      <w:pPr>
        <w:tabs>
          <w:tab w:val="left" w:pos="1418"/>
        </w:tabs>
        <w:spacing w:after="200"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F10B7C">
        <w:rPr>
          <w:rFonts w:ascii="Arial" w:hAnsi="Arial" w:cs="Arial"/>
          <w:b/>
          <w:sz w:val="23"/>
          <w:szCs w:val="23"/>
          <w:u w:val="single"/>
        </w:rPr>
        <w:t>CONCLUSÃO</w:t>
      </w:r>
    </w:p>
    <w:p w:rsidR="00275FAA" w:rsidRDefault="00275FAA" w:rsidP="00275FAA">
      <w:pPr>
        <w:numPr>
          <w:ilvl w:val="0"/>
          <w:numId w:val="1"/>
        </w:numPr>
        <w:tabs>
          <w:tab w:val="clear" w:pos="2808"/>
          <w:tab w:val="left" w:pos="1418"/>
        </w:tabs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301327">
        <w:rPr>
          <w:rFonts w:ascii="Arial" w:hAnsi="Arial" w:cs="Arial"/>
          <w:sz w:val="23"/>
          <w:szCs w:val="23"/>
        </w:rPr>
        <w:t>Destarte,</w:t>
      </w:r>
      <w:r>
        <w:rPr>
          <w:rFonts w:ascii="Arial" w:hAnsi="Arial" w:cs="Arial"/>
          <w:sz w:val="23"/>
          <w:szCs w:val="23"/>
        </w:rPr>
        <w:t xml:space="preserve"> este Ministério Público de Contas </w:t>
      </w:r>
      <w:r w:rsidRPr="00301327">
        <w:rPr>
          <w:rFonts w:ascii="Arial" w:hAnsi="Arial" w:cs="Arial"/>
          <w:sz w:val="23"/>
          <w:szCs w:val="23"/>
        </w:rPr>
        <w:t>opina</w:t>
      </w:r>
      <w:r>
        <w:rPr>
          <w:rFonts w:ascii="Arial" w:hAnsi="Arial" w:cs="Arial"/>
          <w:sz w:val="23"/>
          <w:szCs w:val="23"/>
        </w:rPr>
        <w:t>:</w:t>
      </w:r>
    </w:p>
    <w:p w:rsidR="00275FAA" w:rsidRDefault="00275FAA" w:rsidP="00275FAA">
      <w:pPr>
        <w:pStyle w:val="PargrafodaLista"/>
        <w:numPr>
          <w:ilvl w:val="0"/>
          <w:numId w:val="5"/>
        </w:numPr>
        <w:tabs>
          <w:tab w:val="left" w:pos="1418"/>
        </w:tabs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FB5E1F">
        <w:rPr>
          <w:rFonts w:ascii="Arial" w:hAnsi="Arial" w:cs="Arial"/>
          <w:sz w:val="23"/>
          <w:szCs w:val="23"/>
        </w:rPr>
        <w:t xml:space="preserve"> pela </w:t>
      </w:r>
      <w:r w:rsidR="009F150E" w:rsidRPr="009F150E">
        <w:rPr>
          <w:rFonts w:ascii="Arial" w:hAnsi="Arial" w:cs="Arial"/>
          <w:sz w:val="23"/>
          <w:szCs w:val="23"/>
        </w:rPr>
        <w:t>citação do Prefeito Municipal, Celso Cota Neto, do Presidente da Comissão Permanente de Licitação, Marlon Paulo Figueiredo Silva, e do Procurador Geral do Município, José Celso dos Santos, subscritores do edital</w:t>
      </w:r>
      <w:r w:rsidRPr="009F150E">
        <w:rPr>
          <w:rFonts w:ascii="Arial" w:hAnsi="Arial" w:cs="Arial"/>
          <w:sz w:val="23"/>
          <w:szCs w:val="23"/>
        </w:rPr>
        <w:t>, para apresentarem a defes</w:t>
      </w:r>
      <w:r w:rsidRPr="00FB5E1F">
        <w:rPr>
          <w:rFonts w:ascii="Arial" w:hAnsi="Arial" w:cs="Arial"/>
          <w:sz w:val="23"/>
          <w:szCs w:val="23"/>
        </w:rPr>
        <w:t xml:space="preserve">a e as justificativas que entenderem pertinentes acerca das irregularidades apontadas </w:t>
      </w:r>
      <w:r w:rsidR="009F150E">
        <w:rPr>
          <w:rFonts w:ascii="Arial" w:hAnsi="Arial" w:cs="Arial"/>
          <w:sz w:val="23"/>
          <w:szCs w:val="23"/>
        </w:rPr>
        <w:t>na Denúncia, nos relatórios da CFCPPP e neste parecer ministerial;</w:t>
      </w:r>
    </w:p>
    <w:p w:rsidR="00275FAA" w:rsidRDefault="00275FAA" w:rsidP="00275FAA">
      <w:pPr>
        <w:pStyle w:val="PargrafodaLista"/>
        <w:tabs>
          <w:tab w:val="left" w:pos="1418"/>
        </w:tabs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275FAA" w:rsidRPr="00FB5E1F" w:rsidRDefault="00275FAA" w:rsidP="00275FAA">
      <w:pPr>
        <w:pStyle w:val="PargrafodaLista"/>
        <w:numPr>
          <w:ilvl w:val="0"/>
          <w:numId w:val="5"/>
        </w:numPr>
        <w:tabs>
          <w:tab w:val="left" w:pos="1418"/>
        </w:tabs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FB5E1F">
        <w:rPr>
          <w:rFonts w:ascii="Arial" w:hAnsi="Arial" w:cs="Arial"/>
          <w:sz w:val="23"/>
          <w:szCs w:val="23"/>
        </w:rPr>
        <w:t xml:space="preserve">pela </w:t>
      </w:r>
      <w:r w:rsidR="009F150E">
        <w:rPr>
          <w:rFonts w:ascii="Arial" w:hAnsi="Arial" w:cs="Arial"/>
          <w:sz w:val="23"/>
          <w:szCs w:val="23"/>
        </w:rPr>
        <w:t>determinação de suspensão da Concorrência Pública nº 016/2015, ante a gravidade das irregularidades apontadas e a iminência da ocorrência de prejuízo</w:t>
      </w:r>
      <w:r w:rsidRPr="00FB5E1F">
        <w:rPr>
          <w:rFonts w:ascii="Arial" w:hAnsi="Arial" w:cs="Arial"/>
          <w:sz w:val="23"/>
          <w:szCs w:val="23"/>
        </w:rPr>
        <w:t>.</w:t>
      </w:r>
    </w:p>
    <w:p w:rsidR="00275FAA" w:rsidRPr="00F10B7C" w:rsidRDefault="00D0259D" w:rsidP="00D0259D">
      <w:pPr>
        <w:spacing w:after="20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</w:t>
      </w:r>
      <w:r w:rsidR="00275FAA" w:rsidRPr="00F10B7C">
        <w:rPr>
          <w:rFonts w:ascii="Arial" w:hAnsi="Arial" w:cs="Arial"/>
          <w:sz w:val="23"/>
          <w:szCs w:val="23"/>
        </w:rPr>
        <w:t>Belo Horizonte,</w:t>
      </w:r>
      <w:r w:rsidR="00F90B6A">
        <w:rPr>
          <w:rFonts w:ascii="Arial" w:hAnsi="Arial" w:cs="Arial"/>
          <w:sz w:val="23"/>
          <w:szCs w:val="23"/>
        </w:rPr>
        <w:t>15</w:t>
      </w:r>
      <w:r w:rsidR="009F150E">
        <w:rPr>
          <w:rFonts w:ascii="Arial" w:hAnsi="Arial" w:cs="Arial"/>
          <w:sz w:val="23"/>
          <w:szCs w:val="23"/>
        </w:rPr>
        <w:t xml:space="preserve"> de outubro </w:t>
      </w:r>
      <w:r w:rsidR="00275FAA" w:rsidRPr="00F10B7C">
        <w:rPr>
          <w:rFonts w:ascii="Arial" w:hAnsi="Arial" w:cs="Arial"/>
          <w:sz w:val="23"/>
          <w:szCs w:val="23"/>
        </w:rPr>
        <w:t>de 2015.</w:t>
      </w:r>
    </w:p>
    <w:p w:rsidR="00275FAA" w:rsidRPr="00F10B7C" w:rsidRDefault="00275FAA" w:rsidP="00275FAA">
      <w:pPr>
        <w:tabs>
          <w:tab w:val="left" w:pos="8357"/>
        </w:tabs>
        <w:jc w:val="center"/>
        <w:rPr>
          <w:rFonts w:ascii="Arial" w:hAnsi="Arial" w:cs="Arial"/>
          <w:b/>
          <w:sz w:val="23"/>
          <w:szCs w:val="23"/>
        </w:rPr>
      </w:pPr>
    </w:p>
    <w:p w:rsidR="00275FAA" w:rsidRPr="00F10B7C" w:rsidRDefault="00275FAA" w:rsidP="00275FAA">
      <w:pPr>
        <w:tabs>
          <w:tab w:val="left" w:pos="8357"/>
        </w:tabs>
        <w:jc w:val="center"/>
        <w:rPr>
          <w:rFonts w:ascii="Arial" w:hAnsi="Arial" w:cs="Arial"/>
          <w:b/>
          <w:sz w:val="23"/>
          <w:szCs w:val="23"/>
        </w:rPr>
      </w:pPr>
    </w:p>
    <w:p w:rsidR="00275FAA" w:rsidRPr="00F10B7C" w:rsidRDefault="00275FAA" w:rsidP="00D0259D">
      <w:pPr>
        <w:tabs>
          <w:tab w:val="left" w:pos="8357"/>
        </w:tabs>
        <w:jc w:val="center"/>
        <w:rPr>
          <w:rFonts w:ascii="Arial" w:hAnsi="Arial" w:cs="Arial"/>
          <w:b/>
          <w:sz w:val="23"/>
          <w:szCs w:val="23"/>
        </w:rPr>
      </w:pPr>
      <w:r w:rsidRPr="00F10B7C">
        <w:rPr>
          <w:rFonts w:ascii="Arial" w:hAnsi="Arial" w:cs="Arial"/>
          <w:b/>
          <w:sz w:val="23"/>
          <w:szCs w:val="23"/>
        </w:rPr>
        <w:t>Sara Meinberg</w:t>
      </w:r>
    </w:p>
    <w:p w:rsidR="00262A2C" w:rsidRPr="00B34338" w:rsidRDefault="00275FAA" w:rsidP="00D0259D">
      <w:pPr>
        <w:tabs>
          <w:tab w:val="left" w:pos="8357"/>
        </w:tabs>
        <w:jc w:val="center"/>
      </w:pPr>
      <w:r w:rsidRPr="00F10B7C">
        <w:rPr>
          <w:rFonts w:ascii="Arial" w:hAnsi="Arial" w:cs="Arial"/>
          <w:sz w:val="23"/>
          <w:szCs w:val="23"/>
        </w:rPr>
        <w:t>Procuradora do Ministério Público de Contas</w:t>
      </w:r>
    </w:p>
    <w:sectPr w:rsidR="00262A2C" w:rsidRPr="00B34338" w:rsidSect="00857942">
      <w:headerReference w:type="default" r:id="rId8"/>
      <w:footerReference w:type="default" r:id="rId9"/>
      <w:pgSz w:w="11906" w:h="16838" w:code="9"/>
      <w:pgMar w:top="782" w:right="1701" w:bottom="1276" w:left="1134" w:header="680" w:footer="680" w:gutter="0"/>
      <w:pgNumType w:start="48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4DD" w:rsidRDefault="009244DD" w:rsidP="00995224">
      <w:r>
        <w:separator/>
      </w:r>
    </w:p>
  </w:endnote>
  <w:endnote w:type="continuationSeparator" w:id="0">
    <w:p w:rsidR="009244DD" w:rsidRDefault="009244DD" w:rsidP="00995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FFFF" w:usb2="FFC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6E" w:rsidRPr="007A78ED" w:rsidRDefault="00C76D6E" w:rsidP="004F6959">
    <w:pPr>
      <w:pStyle w:val="Rodap"/>
      <w:tabs>
        <w:tab w:val="clear" w:pos="4252"/>
        <w:tab w:val="clear" w:pos="8504"/>
        <w:tab w:val="center" w:pos="4535"/>
      </w:tabs>
      <w:rPr>
        <w:sz w:val="16"/>
        <w:szCs w:val="16"/>
      </w:rPr>
    </w:pPr>
    <w:r>
      <w:rPr>
        <w:sz w:val="16"/>
        <w:szCs w:val="16"/>
      </w:rPr>
      <w:t>944.815 MBA</w:t>
    </w:r>
    <w:r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4DD" w:rsidRDefault="009244DD" w:rsidP="00995224">
      <w:r>
        <w:separator/>
      </w:r>
    </w:p>
  </w:footnote>
  <w:footnote w:type="continuationSeparator" w:id="0">
    <w:p w:rsidR="009244DD" w:rsidRDefault="009244DD" w:rsidP="00995224">
      <w:r>
        <w:continuationSeparator/>
      </w:r>
    </w:p>
  </w:footnote>
  <w:footnote w:id="1">
    <w:p w:rsidR="00C76D6E" w:rsidRPr="004946E2" w:rsidRDefault="00C76D6E" w:rsidP="004946E2">
      <w:pPr>
        <w:pStyle w:val="Textodenotaderodap"/>
        <w:jc w:val="both"/>
        <w:rPr>
          <w:rFonts w:ascii="Arial" w:hAnsi="Arial" w:cs="Arial"/>
        </w:rPr>
      </w:pPr>
      <w:r w:rsidRPr="004946E2">
        <w:rPr>
          <w:rStyle w:val="Refdenotaderodap"/>
          <w:rFonts w:ascii="Arial" w:hAnsi="Arial" w:cs="Arial"/>
        </w:rPr>
        <w:footnoteRef/>
      </w:r>
      <w:r w:rsidRPr="004946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JUSTEN FILHO, Marçal. Comentários à Lei de Licitações e Contratos Administrativos. 14. ed. São Paulo: Dialética, 2010, p. 624-625.</w:t>
      </w:r>
    </w:p>
  </w:footnote>
  <w:footnote w:id="2">
    <w:p w:rsidR="00C76D6E" w:rsidRPr="00A55D1C" w:rsidRDefault="00C76D6E" w:rsidP="00A55D1C">
      <w:pPr>
        <w:pStyle w:val="Textodenotaderodap"/>
        <w:jc w:val="both"/>
        <w:rPr>
          <w:rFonts w:ascii="Arial" w:hAnsi="Arial" w:cs="Arial"/>
        </w:rPr>
      </w:pPr>
      <w:r w:rsidRPr="00A55D1C">
        <w:rPr>
          <w:rStyle w:val="Refdenotaderodap"/>
          <w:rFonts w:ascii="Arial" w:hAnsi="Arial" w:cs="Arial"/>
        </w:rPr>
        <w:footnoteRef/>
      </w:r>
      <w:r w:rsidRPr="00A55D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Tribunal de Contas da União. AC 2005-40/07-P. Rel. Min. Marcos Bemquerer. Sessão de 26/09/2007. Grifos aditados.</w:t>
      </w:r>
    </w:p>
  </w:footnote>
  <w:footnote w:id="3">
    <w:p w:rsidR="00C76D6E" w:rsidRPr="00913185" w:rsidRDefault="00C76D6E" w:rsidP="00913185">
      <w:pPr>
        <w:pStyle w:val="Textodenotaderodap"/>
        <w:jc w:val="both"/>
        <w:rPr>
          <w:rFonts w:ascii="Arial" w:hAnsi="Arial" w:cs="Arial"/>
        </w:rPr>
      </w:pPr>
      <w:r w:rsidRPr="00913185">
        <w:rPr>
          <w:rStyle w:val="Refdenotaderodap"/>
          <w:rFonts w:ascii="Arial" w:hAnsi="Arial" w:cs="Arial"/>
        </w:rPr>
        <w:footnoteRef/>
      </w:r>
      <w:r w:rsidRPr="009131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Tribunal de Contas da União. AC 1842-26/13-P. Rel. Min. Ana Arraes. Sessão de 17/07/2013. Grifos aditados.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1" w:type="dxa"/>
      <w:tblLayout w:type="fixed"/>
      <w:tblCellMar>
        <w:left w:w="70" w:type="dxa"/>
        <w:right w:w="70" w:type="dxa"/>
      </w:tblCellMar>
      <w:tblLook w:val="0000"/>
    </w:tblPr>
    <w:tblGrid>
      <w:gridCol w:w="7870"/>
      <w:gridCol w:w="1341"/>
    </w:tblGrid>
    <w:tr w:rsidR="00C76D6E" w:rsidTr="004F6959">
      <w:trPr>
        <w:trHeight w:val="852"/>
      </w:trPr>
      <w:tc>
        <w:tcPr>
          <w:tcW w:w="7870" w:type="dxa"/>
        </w:tcPr>
        <w:p w:rsidR="00C76D6E" w:rsidRDefault="00C76D6E">
          <w:pPr>
            <w:pStyle w:val="Cabealho"/>
            <w:rPr>
              <w:sz w:val="16"/>
            </w:rPr>
          </w:pPr>
          <w:r>
            <w:t xml:space="preserve">                                                     </w:t>
          </w:r>
          <w:r w:rsidRPr="00954ED0">
            <w:rPr>
              <w:noProof/>
            </w:rPr>
            <w:drawing>
              <wp:inline distT="0" distB="0" distL="0" distR="0">
                <wp:extent cx="758825" cy="724535"/>
                <wp:effectExtent l="19050" t="0" r="317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1" w:type="dxa"/>
        </w:tcPr>
        <w:p w:rsidR="00C76D6E" w:rsidRDefault="00C76D6E">
          <w:pPr>
            <w:jc w:val="center"/>
            <w:rPr>
              <w:sz w:val="16"/>
            </w:rPr>
          </w:pPr>
        </w:p>
        <w:p w:rsidR="00C76D6E" w:rsidRDefault="00C76D6E" w:rsidP="004F6959">
          <w:pPr>
            <w:pStyle w:val="Cabealho"/>
            <w:jc w:val="center"/>
            <w:rPr>
              <w:sz w:val="16"/>
            </w:rPr>
          </w:pPr>
        </w:p>
      </w:tc>
    </w:tr>
    <w:tr w:rsidR="00C76D6E" w:rsidTr="004F6959">
      <w:tc>
        <w:tcPr>
          <w:tcW w:w="9211" w:type="dxa"/>
          <w:gridSpan w:val="2"/>
        </w:tcPr>
        <w:p w:rsidR="00C76D6E" w:rsidRDefault="00C76D6E" w:rsidP="004F6959">
          <w:pPr>
            <w:pStyle w:val="Cabealho"/>
            <w:spacing w:before="12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MINISTÉRIO PÚBLICO DE CONTAS DO ESTADO DE MINAS GERAIS</w:t>
          </w:r>
        </w:p>
        <w:p w:rsidR="00C76D6E" w:rsidRDefault="00C76D6E" w:rsidP="004F6959">
          <w:pPr>
            <w:pStyle w:val="Cabealho"/>
            <w:spacing w:before="120"/>
            <w:jc w:val="center"/>
            <w:rPr>
              <w:sz w:val="16"/>
            </w:rPr>
          </w:pPr>
          <w:r>
            <w:rPr>
              <w:b/>
              <w:sz w:val="20"/>
            </w:rPr>
            <w:t>Gabinete da Procuradora Sara Meinberg</w:t>
          </w:r>
        </w:p>
      </w:tc>
    </w:tr>
  </w:tbl>
  <w:p w:rsidR="00C76D6E" w:rsidRDefault="00C76D6E">
    <w:pPr>
      <w:pStyle w:val="Cabealho"/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C03920"/>
    <w:name w:val="WW8Num34"/>
    <w:lvl w:ilvl="0">
      <w:start w:val="1"/>
      <w:numFmt w:val="decimal"/>
      <w:lvlText w:val="%1."/>
      <w:lvlJc w:val="left"/>
      <w:pPr>
        <w:tabs>
          <w:tab w:val="num" w:pos="2808"/>
        </w:tabs>
        <w:ind w:left="2808" w:hanging="397"/>
      </w:pPr>
      <w:rPr>
        <w:b w:val="0"/>
        <w:i w:val="0"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783813"/>
    <w:multiLevelType w:val="hybridMultilevel"/>
    <w:tmpl w:val="EDEE5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74FF"/>
    <w:multiLevelType w:val="hybridMultilevel"/>
    <w:tmpl w:val="3DF689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26878"/>
    <w:multiLevelType w:val="multilevel"/>
    <w:tmpl w:val="44F4954E"/>
    <w:lvl w:ilvl="0">
      <w:start w:val="1"/>
      <w:numFmt w:val="lowerLetter"/>
      <w:lvlText w:val="%1)"/>
      <w:lvlJc w:val="left"/>
      <w:pPr>
        <w:tabs>
          <w:tab w:val="num" w:pos="965"/>
        </w:tabs>
        <w:ind w:left="965" w:hanging="397"/>
      </w:pPr>
      <w:rPr>
        <w:b w:val="0"/>
        <w:i w:val="0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6117"/>
        </w:tabs>
        <w:ind w:left="6117" w:hanging="360"/>
      </w:pPr>
    </w:lvl>
    <w:lvl w:ilvl="2">
      <w:start w:val="1"/>
      <w:numFmt w:val="lowerRoman"/>
      <w:lvlText w:val="%3."/>
      <w:lvlJc w:val="right"/>
      <w:pPr>
        <w:tabs>
          <w:tab w:val="num" w:pos="6837"/>
        </w:tabs>
        <w:ind w:left="6837" w:hanging="180"/>
      </w:pPr>
    </w:lvl>
    <w:lvl w:ilvl="3">
      <w:start w:val="1"/>
      <w:numFmt w:val="decimal"/>
      <w:lvlText w:val="%4."/>
      <w:lvlJc w:val="left"/>
      <w:pPr>
        <w:tabs>
          <w:tab w:val="num" w:pos="7557"/>
        </w:tabs>
        <w:ind w:left="7557" w:hanging="360"/>
      </w:pPr>
    </w:lvl>
    <w:lvl w:ilvl="4">
      <w:start w:val="1"/>
      <w:numFmt w:val="lowerLetter"/>
      <w:lvlText w:val="%5."/>
      <w:lvlJc w:val="left"/>
      <w:pPr>
        <w:tabs>
          <w:tab w:val="num" w:pos="8277"/>
        </w:tabs>
        <w:ind w:left="8277" w:hanging="360"/>
      </w:pPr>
    </w:lvl>
    <w:lvl w:ilvl="5">
      <w:start w:val="1"/>
      <w:numFmt w:val="lowerRoman"/>
      <w:lvlText w:val="%6."/>
      <w:lvlJc w:val="right"/>
      <w:pPr>
        <w:tabs>
          <w:tab w:val="num" w:pos="8997"/>
        </w:tabs>
        <w:ind w:left="8997" w:hanging="180"/>
      </w:pPr>
    </w:lvl>
    <w:lvl w:ilvl="6">
      <w:start w:val="1"/>
      <w:numFmt w:val="decimal"/>
      <w:lvlText w:val="%7."/>
      <w:lvlJc w:val="left"/>
      <w:pPr>
        <w:tabs>
          <w:tab w:val="num" w:pos="9717"/>
        </w:tabs>
        <w:ind w:left="9717" w:hanging="360"/>
      </w:pPr>
    </w:lvl>
    <w:lvl w:ilvl="7">
      <w:start w:val="1"/>
      <w:numFmt w:val="lowerLetter"/>
      <w:lvlText w:val="%8."/>
      <w:lvlJc w:val="left"/>
      <w:pPr>
        <w:tabs>
          <w:tab w:val="num" w:pos="10437"/>
        </w:tabs>
        <w:ind w:left="10437" w:hanging="360"/>
      </w:pPr>
    </w:lvl>
    <w:lvl w:ilvl="8">
      <w:start w:val="1"/>
      <w:numFmt w:val="lowerRoman"/>
      <w:lvlText w:val="%9."/>
      <w:lvlJc w:val="right"/>
      <w:pPr>
        <w:tabs>
          <w:tab w:val="num" w:pos="11157"/>
        </w:tabs>
        <w:ind w:left="11157" w:hanging="180"/>
      </w:pPr>
    </w:lvl>
  </w:abstractNum>
  <w:abstractNum w:abstractNumId="4">
    <w:nsid w:val="60317E04"/>
    <w:multiLevelType w:val="hybridMultilevel"/>
    <w:tmpl w:val="350675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hideSpellingErrors/>
  <w:hideGrammaticalErrors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95224"/>
    <w:rsid w:val="00003692"/>
    <w:rsid w:val="000136A1"/>
    <w:rsid w:val="0001670F"/>
    <w:rsid w:val="000262FB"/>
    <w:rsid w:val="0002739A"/>
    <w:rsid w:val="00031206"/>
    <w:rsid w:val="0003732A"/>
    <w:rsid w:val="00080F26"/>
    <w:rsid w:val="00086CA9"/>
    <w:rsid w:val="000909C1"/>
    <w:rsid w:val="000B4F3D"/>
    <w:rsid w:val="000B6601"/>
    <w:rsid w:val="000D3CF5"/>
    <w:rsid w:val="000E5533"/>
    <w:rsid w:val="000F67B5"/>
    <w:rsid w:val="001002C7"/>
    <w:rsid w:val="00123F92"/>
    <w:rsid w:val="00134A3C"/>
    <w:rsid w:val="00142062"/>
    <w:rsid w:val="00145C79"/>
    <w:rsid w:val="00154EA9"/>
    <w:rsid w:val="0016282F"/>
    <w:rsid w:val="0016359C"/>
    <w:rsid w:val="00164796"/>
    <w:rsid w:val="0017258B"/>
    <w:rsid w:val="001A5B1C"/>
    <w:rsid w:val="001A61CB"/>
    <w:rsid w:val="001A7AFB"/>
    <w:rsid w:val="001B1A4E"/>
    <w:rsid w:val="001B63C7"/>
    <w:rsid w:val="001C03F6"/>
    <w:rsid w:val="001D2F30"/>
    <w:rsid w:val="001D37BE"/>
    <w:rsid w:val="001D7A66"/>
    <w:rsid w:val="001E7D2D"/>
    <w:rsid w:val="001F0E2F"/>
    <w:rsid w:val="00252629"/>
    <w:rsid w:val="00262A2C"/>
    <w:rsid w:val="00264539"/>
    <w:rsid w:val="002730A9"/>
    <w:rsid w:val="002752FC"/>
    <w:rsid w:val="00275FAA"/>
    <w:rsid w:val="00282B49"/>
    <w:rsid w:val="00285A3B"/>
    <w:rsid w:val="002938AF"/>
    <w:rsid w:val="002950FB"/>
    <w:rsid w:val="00297414"/>
    <w:rsid w:val="002B51A4"/>
    <w:rsid w:val="002B5802"/>
    <w:rsid w:val="002C5693"/>
    <w:rsid w:val="002D217E"/>
    <w:rsid w:val="002D217F"/>
    <w:rsid w:val="002E4F67"/>
    <w:rsid w:val="002F230E"/>
    <w:rsid w:val="002F7FD1"/>
    <w:rsid w:val="00310D0B"/>
    <w:rsid w:val="003305DA"/>
    <w:rsid w:val="0033765D"/>
    <w:rsid w:val="0034601D"/>
    <w:rsid w:val="00347394"/>
    <w:rsid w:val="00350587"/>
    <w:rsid w:val="003606AB"/>
    <w:rsid w:val="00367A44"/>
    <w:rsid w:val="00373530"/>
    <w:rsid w:val="00382051"/>
    <w:rsid w:val="00383846"/>
    <w:rsid w:val="0038459B"/>
    <w:rsid w:val="00393FE3"/>
    <w:rsid w:val="00395705"/>
    <w:rsid w:val="003A6CE3"/>
    <w:rsid w:val="003C4233"/>
    <w:rsid w:val="003C4D8B"/>
    <w:rsid w:val="003D46F1"/>
    <w:rsid w:val="003F6ACC"/>
    <w:rsid w:val="0040430D"/>
    <w:rsid w:val="00404D72"/>
    <w:rsid w:val="0041194F"/>
    <w:rsid w:val="00452CCF"/>
    <w:rsid w:val="00456D70"/>
    <w:rsid w:val="004604C3"/>
    <w:rsid w:val="00462539"/>
    <w:rsid w:val="00470199"/>
    <w:rsid w:val="00483848"/>
    <w:rsid w:val="004854A0"/>
    <w:rsid w:val="004946E2"/>
    <w:rsid w:val="004B33B2"/>
    <w:rsid w:val="004C15A2"/>
    <w:rsid w:val="004C2F66"/>
    <w:rsid w:val="004C5CA0"/>
    <w:rsid w:val="004C6DA8"/>
    <w:rsid w:val="004D4CC6"/>
    <w:rsid w:val="004E6DA0"/>
    <w:rsid w:val="004F6959"/>
    <w:rsid w:val="00500653"/>
    <w:rsid w:val="00503A5E"/>
    <w:rsid w:val="005113CF"/>
    <w:rsid w:val="005121F2"/>
    <w:rsid w:val="00520C3E"/>
    <w:rsid w:val="005410F4"/>
    <w:rsid w:val="00551E65"/>
    <w:rsid w:val="005670F0"/>
    <w:rsid w:val="005A3103"/>
    <w:rsid w:val="005B191F"/>
    <w:rsid w:val="005B4CC8"/>
    <w:rsid w:val="005B527E"/>
    <w:rsid w:val="005C26C3"/>
    <w:rsid w:val="005C614E"/>
    <w:rsid w:val="005E1C05"/>
    <w:rsid w:val="005E5FBD"/>
    <w:rsid w:val="005F1803"/>
    <w:rsid w:val="00612664"/>
    <w:rsid w:val="00622DEF"/>
    <w:rsid w:val="00627A18"/>
    <w:rsid w:val="00631812"/>
    <w:rsid w:val="006341A2"/>
    <w:rsid w:val="0066278E"/>
    <w:rsid w:val="006701E2"/>
    <w:rsid w:val="00675871"/>
    <w:rsid w:val="006A162F"/>
    <w:rsid w:val="006A4536"/>
    <w:rsid w:val="006A61E1"/>
    <w:rsid w:val="006F12C9"/>
    <w:rsid w:val="006F689E"/>
    <w:rsid w:val="007026DE"/>
    <w:rsid w:val="00715931"/>
    <w:rsid w:val="00716712"/>
    <w:rsid w:val="00720563"/>
    <w:rsid w:val="00724FAA"/>
    <w:rsid w:val="00733F38"/>
    <w:rsid w:val="00735B99"/>
    <w:rsid w:val="00736261"/>
    <w:rsid w:val="007415A2"/>
    <w:rsid w:val="00743FC7"/>
    <w:rsid w:val="007625A8"/>
    <w:rsid w:val="0078603C"/>
    <w:rsid w:val="007A0B8F"/>
    <w:rsid w:val="007A1454"/>
    <w:rsid w:val="007A2A86"/>
    <w:rsid w:val="007B3379"/>
    <w:rsid w:val="007B4911"/>
    <w:rsid w:val="007C5706"/>
    <w:rsid w:val="007C636F"/>
    <w:rsid w:val="007D0E1D"/>
    <w:rsid w:val="007E760D"/>
    <w:rsid w:val="007F024D"/>
    <w:rsid w:val="007F7E3D"/>
    <w:rsid w:val="00811AF1"/>
    <w:rsid w:val="0083559E"/>
    <w:rsid w:val="00855373"/>
    <w:rsid w:val="00857942"/>
    <w:rsid w:val="008664FF"/>
    <w:rsid w:val="008822B7"/>
    <w:rsid w:val="00885A82"/>
    <w:rsid w:val="00886FC8"/>
    <w:rsid w:val="0089083C"/>
    <w:rsid w:val="00895766"/>
    <w:rsid w:val="008A50EB"/>
    <w:rsid w:val="008B11F5"/>
    <w:rsid w:val="008E10D0"/>
    <w:rsid w:val="008F326D"/>
    <w:rsid w:val="008F4487"/>
    <w:rsid w:val="00913185"/>
    <w:rsid w:val="00913DCE"/>
    <w:rsid w:val="00921D9A"/>
    <w:rsid w:val="009244DD"/>
    <w:rsid w:val="00926703"/>
    <w:rsid w:val="009328BB"/>
    <w:rsid w:val="00937ABA"/>
    <w:rsid w:val="00957F5E"/>
    <w:rsid w:val="0099202A"/>
    <w:rsid w:val="009940F1"/>
    <w:rsid w:val="00994A07"/>
    <w:rsid w:val="00995224"/>
    <w:rsid w:val="00995C17"/>
    <w:rsid w:val="009967A5"/>
    <w:rsid w:val="00996ACF"/>
    <w:rsid w:val="009975F1"/>
    <w:rsid w:val="009A4182"/>
    <w:rsid w:val="009B4942"/>
    <w:rsid w:val="009B7C33"/>
    <w:rsid w:val="009E2B5E"/>
    <w:rsid w:val="009F150E"/>
    <w:rsid w:val="009F3909"/>
    <w:rsid w:val="00A30E97"/>
    <w:rsid w:val="00A31871"/>
    <w:rsid w:val="00A34D01"/>
    <w:rsid w:val="00A37F70"/>
    <w:rsid w:val="00A55D1C"/>
    <w:rsid w:val="00A60A9A"/>
    <w:rsid w:val="00A644D6"/>
    <w:rsid w:val="00A654A3"/>
    <w:rsid w:val="00A661BD"/>
    <w:rsid w:val="00A72245"/>
    <w:rsid w:val="00A7294F"/>
    <w:rsid w:val="00AC4281"/>
    <w:rsid w:val="00AD2E98"/>
    <w:rsid w:val="00AD6860"/>
    <w:rsid w:val="00AE17C4"/>
    <w:rsid w:val="00AF1C25"/>
    <w:rsid w:val="00AF2858"/>
    <w:rsid w:val="00B07259"/>
    <w:rsid w:val="00B34338"/>
    <w:rsid w:val="00B37338"/>
    <w:rsid w:val="00B46E79"/>
    <w:rsid w:val="00B57855"/>
    <w:rsid w:val="00B7150F"/>
    <w:rsid w:val="00B72C1E"/>
    <w:rsid w:val="00B83052"/>
    <w:rsid w:val="00B84E98"/>
    <w:rsid w:val="00B94A87"/>
    <w:rsid w:val="00B96CCC"/>
    <w:rsid w:val="00BB0060"/>
    <w:rsid w:val="00BC7D33"/>
    <w:rsid w:val="00BD173F"/>
    <w:rsid w:val="00BF2298"/>
    <w:rsid w:val="00BF2BE5"/>
    <w:rsid w:val="00BF54DF"/>
    <w:rsid w:val="00C1557E"/>
    <w:rsid w:val="00C15B04"/>
    <w:rsid w:val="00C20B8D"/>
    <w:rsid w:val="00C34F3A"/>
    <w:rsid w:val="00C37A99"/>
    <w:rsid w:val="00C527D6"/>
    <w:rsid w:val="00C61850"/>
    <w:rsid w:val="00C76D6E"/>
    <w:rsid w:val="00C86C06"/>
    <w:rsid w:val="00CA458F"/>
    <w:rsid w:val="00CA5B35"/>
    <w:rsid w:val="00CD0E43"/>
    <w:rsid w:val="00CD55DB"/>
    <w:rsid w:val="00CF2F5B"/>
    <w:rsid w:val="00D0259D"/>
    <w:rsid w:val="00D22538"/>
    <w:rsid w:val="00D27AC0"/>
    <w:rsid w:val="00D302D3"/>
    <w:rsid w:val="00D318A0"/>
    <w:rsid w:val="00D36123"/>
    <w:rsid w:val="00D41A64"/>
    <w:rsid w:val="00D432C6"/>
    <w:rsid w:val="00D52A48"/>
    <w:rsid w:val="00D57CE9"/>
    <w:rsid w:val="00D6062A"/>
    <w:rsid w:val="00D61672"/>
    <w:rsid w:val="00D709FA"/>
    <w:rsid w:val="00D72479"/>
    <w:rsid w:val="00D860C3"/>
    <w:rsid w:val="00D86AAD"/>
    <w:rsid w:val="00D94AF1"/>
    <w:rsid w:val="00DA3E63"/>
    <w:rsid w:val="00DA4BAF"/>
    <w:rsid w:val="00DD00A6"/>
    <w:rsid w:val="00DD2AD8"/>
    <w:rsid w:val="00DF032F"/>
    <w:rsid w:val="00DF0467"/>
    <w:rsid w:val="00DF4212"/>
    <w:rsid w:val="00E07884"/>
    <w:rsid w:val="00E23098"/>
    <w:rsid w:val="00E44479"/>
    <w:rsid w:val="00E65480"/>
    <w:rsid w:val="00E65CEC"/>
    <w:rsid w:val="00E8618B"/>
    <w:rsid w:val="00E96B0B"/>
    <w:rsid w:val="00EA1DA8"/>
    <w:rsid w:val="00EA4A01"/>
    <w:rsid w:val="00EB2F1E"/>
    <w:rsid w:val="00EC089D"/>
    <w:rsid w:val="00EC68E0"/>
    <w:rsid w:val="00ED51C6"/>
    <w:rsid w:val="00ED78A1"/>
    <w:rsid w:val="00EE7FEE"/>
    <w:rsid w:val="00EF107A"/>
    <w:rsid w:val="00F0198C"/>
    <w:rsid w:val="00F248C1"/>
    <w:rsid w:val="00F24F33"/>
    <w:rsid w:val="00F62BB2"/>
    <w:rsid w:val="00F7155F"/>
    <w:rsid w:val="00F75834"/>
    <w:rsid w:val="00F90B6A"/>
    <w:rsid w:val="00F966D5"/>
    <w:rsid w:val="00F97D7E"/>
    <w:rsid w:val="00FA0314"/>
    <w:rsid w:val="00FA77FC"/>
    <w:rsid w:val="00FB4C27"/>
    <w:rsid w:val="00FB715F"/>
    <w:rsid w:val="00FC1999"/>
    <w:rsid w:val="00FC1A11"/>
    <w:rsid w:val="00FD33AC"/>
    <w:rsid w:val="00FE1209"/>
    <w:rsid w:val="00FF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22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258B"/>
    <w:pPr>
      <w:keepNext/>
      <w:jc w:val="both"/>
      <w:outlineLvl w:val="0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2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95224"/>
    <w:rPr>
      <w:rFonts w:ascii="Century Schoolbook" w:eastAsia="Times New Roman" w:hAnsi="Century Schoolbook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952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5224"/>
    <w:rPr>
      <w:rFonts w:ascii="Century Schoolbook" w:eastAsia="Times New Roman" w:hAnsi="Century Schoolbook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99522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99522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95224"/>
    <w:rPr>
      <w:rFonts w:ascii="Century Schoolbook" w:eastAsia="Times New Roman" w:hAnsi="Century Schoolbook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99522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2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22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D2253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C34F3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7258B"/>
    <w:rPr>
      <w:rFonts w:ascii="Arial Narrow" w:eastAsia="Times New Roman" w:hAnsi="Arial Narrow" w:cs="Times New Roman"/>
      <w:b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503A5E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503A5E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275F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0cbzapy6g/+SkVT+93zwURGpiPo=</DigestValue>
    </Reference>
    <Reference URI="#idOfficeObject" Type="http://www.w3.org/2000/09/xmldsig#Object">
      <DigestMethod Algorithm="http://www.w3.org/2000/09/xmldsig#sha1"/>
      <DigestValue>7GvSvp0ArLcxaqX0pykYkah/jt0=</DigestValue>
    </Reference>
  </SignedInfo>
  <SignatureValue>
    fC9xzLNjpA0KwFmls6F2fHAj0KxIeZnr+rE8p+4mejec5Ff5rYwzpa2D8iMSyi82vT4Lceej
    A+QlJn/C+AURamnvYjBbWucGDOHcjtDS3Y9tQV9m7YI7n1S7dsrPxBlKDgrYh6BDpkTZJ0xV
    7nljaN9V0tT4fhpFD5/zcB7uDgDr98YUR/VcbFBnEgYKDoNZxbdawB8Y/XI/BE4sMQhyt+4n
    JZ88hlt5bs2qms+odIEx+9fReDgGi5MKhjPx8muoDw8/9+KIg8TblRc8GmTNCGettaYaoZyb
    LDJ7Zy5u5hoMpTyqfh+kWo7OU8xSa2kwxiP7r99XuEKt4J+2CzZoDw==
  </SignatureValue>
  <KeyInfo>
    <KeyValue>
      <RSAKeyValue>
        <Modulus>
            pWGr1VivlEwf71hYBSWqOo3s5GRUhp01HT4ZbUheB0xbq0HB/3uVWCrkKKcmuczqR0itc5XN
            JFT++azWyeKoqgy/Bx49+HTaHAH27nEVjJNtxoEffSqEjlvoC7PbhFwePdRpXJ/a3hxMvUxw
            TDKtZE8VmAoZKLJiaHvdofZjPv5B/16a9Q4eHI56M4kqF2qGifG3K8ATX1lO0itAlM9136u6
            MYf27llPHVrAnhd+TCM0at1JPuoIXJ795wrSD+gZswSmuoO3FXsl2YBUwzKO21imiJsFqc47
            BGFFkHgSsplcc69nqcuGpKPAT8xms2cbSleZNHOfhu/AD9IhORxewQ==
          </Modulus>
        <Exponent>AQAB</Exponent>
      </RSAKeyValue>
    </KeyValue>
    <X509Data>
      <X509Certificate>
          MIIH9DCCBdygAwIBAgIQJ096ShclnAlAaKdpTx8BmDANBgkqhkiG9w0BAQsFADB3MQswCQYD
          VQQGEwJCUjETMBEGA1UEChMKSUNQLUJyYXNpbDE2MDQGA1UECxMtU2VjcmV0YXJpYSBkYSBS
          ZWNlaXRhIEZlZGVyYWwgZG8gQnJhc2lsIC0gUkZCMRswGQYDVQQDExJBQyBQUk9ERU1HRSBS
          RkIgRzMwHhcNMTUwNTI1MDAwMDAwWhcNMTgwNTIzMjM1OTU5WjCB6DELMAkGA1UEBhMCQlIx
          EzARBgNVBAoUCklDUC1CcmFzaWwxNjA0BgNVBAsULVNlY3JldGFyaWEgZGEgUmVjZWl0YSBG
          ZWRlcmFsIGRvIEJyYXNpbCAtIFJGQjEVMBMGA1UECxQMUkZCIGUtQ1BGIEEzMRQwEgYDVQQL
          FAsoRU0gQlJBTkNPKTEhMB8GA1UECxQYQXV0ZW50aWNhZG8gcG9yIFBST0RFTUdFMTwwOgYD
          VQQDEzNTQVJBIE1FSU5CRVJHIFNDSE1JRFQgREUgQU5EUkFERSBEVUFSVEU6MDAwNzgzNjQ2
          NTUwggEiMA0GCSqGSIb3DQEBAQUAA4IBDwAwggEKAoIBAQClYavVWK+UTB/vWFgFJao6jezk
          ZFSGnTUdPhltSF4HTFurQcH/e5VYKuQopya5zOpHSK1zlc0kVP75rNbJ4qiqDL8HHj34dNoc
          AfbucRWMk23GgR99KoSOW+gLs9uEXB491Glcn9reHEy9THBMMq1kTxWYChkosmJoe92h9mM+
          /kH/Xpr1Dh4cjnoziSoXaoaJ8bcrwBNfWU7SK0CUz3Xfq7oxh/buWU8dWsCeF35MIzRq3Uk+
          6ghcnv3nCtIP6BmzBKa6g7cVeyXZgFTDMo7bWKaImwWpzjsEYUWQeBKymVxzr2epy4ako8BP
          zGazZxtKV5k0c5+G78AP0iE5HF7BAgMBAAGjggMIMIIDBDCBoAYDVR0RBIGYMIGVoD0GBWBM
          AQMBoDQEMjEwMTIxOTczMDAwNzgzNjQ2NTUwMDAwMDAwMDAwMDAwMDAwME1HNjQwMjI1NlNT
          UE1HoBcGBWBMAQMGoA4EDDAwMDAwMDAwMDAwMKAeBgVgTAEDBaAVBBMwMDAwMDAwMDAwMDAw
          MDAwMDAwgRtzYXJhLm1laW5iZXJnQG1wYy5tZy5nb3YuYnIwCQYDVR0TBAIwADAfBgNVHSME
          GDAWgBTUhARBL7QuQTXs74g60UzBbguQVDAOBgNVHQ8BAf8EBAMCBeAwfQYDVR0gBHYwdDBy
          BgZgTAECAxQwaDBmBggrBgEFBQcCARZaaHR0cDovL2ljcC1icmFzaWwuY2VydGlzaWduLmNv
          bS5ici9yZXBvc2l0b3Jpby9kcGMvQUNfUFJPREVNR0VfUkZCL0RQQ19BQ19QUk9ERU1HRV9S
          RkIucGRmMIIBEwYDVR0fBIIBCjCCAQYwVqBUoFKGUGh0dHA6Ly9pY3AtYnJhc2lsLmNlcnRp
          c2lnbi5jb20uYnIvcmVwb3NpdG9yaW8vbGNyL0FDUFJPREVNR0VSRkJHMy9MYXRlc3RDUkwu
          Y3JsMFWgU6BRhk9odHRwOi8vaWNwLWJyYXNpbC5vdXRyYWxjci5jb20uYnIvcmVwb3NpdG9y
          aW8vbGNyL0FDUFJPREVNR0VSRkJHMy9MYXRlc3RDUkwuY3JsMFWgU6BRhk9odHRwOi8vcmVw
          b3NpdG9yaW8uaWNwYnJhc2lsLmdvdi5ici9sY3IvQ2VydGlzaWduL0FDUFJPREVNR0VSRkJH
          My9MYXRlc3RDUkwuY3JsMB0GA1UdJQQWMBQGCCsGAQUFBwMCBggrBgEFBQcDBDBuBggrBgEF
          BQcBAQRiMGAwXgYIKwYBBQUHMAKGUmh0dHA6Ly9pY3AtYnJhc2lsLmNlcnRpc2lnbi5jb20u
          YnIvcmVwb3NpdG9yaW8vY2VydGlmaWNhZG9zL0FDX1BST0RFTUdFX1JGQl9HMy5wN2MwDQYJ
          KoZIhvcNAQELBQADggIBAGDD3HqXSe+QhE3DACYn/P9/MgV+dCVutD7AwqRTtNhObi4rUuKj
          SvpiiKTXaaktgU8Ypvzuxr7VGSlIEL0+1EDHTTuxsahx25rnCuyQyG1nujrfrfKoPP6hUbgt
          +a5S2XyJj9JjOiGCb17j08MawOagWUMoMKEQnQHFexvooJKKlSxwfdTvhaRjsOq5zidJMU5d
          u97+1MNYrgaUcW+4RUkHBkehgugSZdGol0lcrTXOjKd4XjzPrrreEivhYxwsaJhQxZtf/uUc
          TqaC/PCce11CO6HQVKi2LjMZEZDpWq1OJq0Mu2DvMUMVx6OstiufkgYOSeY1sICRuvr0L2yT
          6RY23vLB+8UI1qIia67CImSqc8CDp5nqJg2irp6ThoEsfm4AlOW7tAjeIiYnekLohfH4Mf3d
          2aII1YVqo1oHgNWMH+CKrsiJkosO5v8bwbQIH1gE5p9k6UY4U+aepq8DO/InBqtczWe/rnl4
          afQV0TD3iIFXwdhMLdPGsx38bkxXmT7pqxmsNyTB8+0aehESl7LLZyQ9kAMMdzvAFUGqLHjX
          jINKuPV8dHVlpCh5jz/OVuPmmQ1fo3A5HdxBtDcLbmxlBPbWrig3TMs9m1IChFrgoI84EhRv
          7BRDEpqpvMoHyQSWNHyK/HFPiFat2D8jQCCeyGZ2DJVloFubjnOaOHQ6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document.xml?ContentType=application/vnd.openxmlformats-officedocument.wordprocessingml.document.main+xml">
        <DigestMethod Algorithm="http://www.w3.org/2000/09/xmldsig#sha1"/>
        <DigestValue>9+b9hRPzlsIKCZeAFd9Ud4xpshI=</DigestValue>
      </Reference>
      <Reference URI="/word/endnotes.xml?ContentType=application/vnd.openxmlformats-officedocument.wordprocessingml.endnotes+xml">
        <DigestMethod Algorithm="http://www.w3.org/2000/09/xmldsig#sha1"/>
        <DigestValue>LNOGa8J/xta0WOP2eYvteQ0jacA=</DigestValue>
      </Reference>
      <Reference URI="/word/fontTable.xml?ContentType=application/vnd.openxmlformats-officedocument.wordprocessingml.fontTable+xml">
        <DigestMethod Algorithm="http://www.w3.org/2000/09/xmldsig#sha1"/>
        <DigestValue>aP6gdcKV51+AdcrjIvsqOBzeGZs=</DigestValue>
      </Reference>
      <Reference URI="/word/footer1.xml?ContentType=application/vnd.openxmlformats-officedocument.wordprocessingml.footer+xml">
        <DigestMethod Algorithm="http://www.w3.org/2000/09/xmldsig#sha1"/>
        <DigestValue>Y8gU7CI+fSEZwlfpjp7PaD6Jpvo=</DigestValue>
      </Reference>
      <Reference URI="/word/footnotes.xml?ContentType=application/vnd.openxmlformats-officedocument.wordprocessingml.footnotes+xml">
        <DigestMethod Algorithm="http://www.w3.org/2000/09/xmldsig#sha1"/>
        <DigestValue>KGVskHuY1eNSWvToMjWOdcP8LnA=</DigestValue>
      </Reference>
      <Reference URI="/word/header1.xml?ContentType=application/vnd.openxmlformats-officedocument.wordprocessingml.header+xml">
        <DigestMethod Algorithm="http://www.w3.org/2000/09/xmldsig#sha1"/>
        <DigestValue>dykO+FBBWKBnRp6fW0KszQnvlpk=</DigestValue>
      </Reference>
      <Reference URI="/word/media/image1.png?ContentType=image/png">
        <DigestMethod Algorithm="http://www.w3.org/2000/09/xmldsig#sha1"/>
        <DigestValue>Ffn0upG9m/nkYgXm1wbBRzqhG84=</DigestValue>
      </Reference>
      <Reference URI="/word/numbering.xml?ContentType=application/vnd.openxmlformats-officedocument.wordprocessingml.numbering+xml">
        <DigestMethod Algorithm="http://www.w3.org/2000/09/xmldsig#sha1"/>
        <DigestValue>HwHvwmLe8PvVId9DsNaoqQBJK/A=</DigestValue>
      </Reference>
      <Reference URI="/word/settings.xml?ContentType=application/vnd.openxmlformats-officedocument.wordprocessingml.settings+xml">
        <DigestMethod Algorithm="http://www.w3.org/2000/09/xmldsig#sha1"/>
        <DigestValue>nSNa/4K1I5btCrUTD84Cb4VVP74=</DigestValue>
      </Reference>
      <Reference URI="/word/styles.xml?ContentType=application/vnd.openxmlformats-officedocument.wordprocessingml.styles+xml">
        <DigestMethod Algorithm="http://www.w3.org/2000/09/xmldsig#sha1"/>
        <DigestValue>JZ/N55qM66xVIlKJ6/HPhlNv090=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6ntYdWRpr/wfWPVDtOBQl6EHLK0=</DigestValue>
      </Reference>
    </Manifest>
    <SignatureProperties>
      <SignatureProperty Id="idSignatureTime" Target="#idPackageSignature">
        <mdssi:SignatureTime>
          <mdssi:Format>YYYY-MM-DDThh:mm:ssTZD</mdssi:Format>
          <mdssi:Value>2015-10-15T17:31:34Z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A6FFB-5F1F-4419-A8E9-DA8F0642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3601</Words>
  <Characters>19448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mbalves</dc:creator>
  <cp:lastModifiedBy>helbert.silva</cp:lastModifiedBy>
  <cp:revision>2</cp:revision>
  <dcterms:created xsi:type="dcterms:W3CDTF">2016-05-31T18:55:00Z</dcterms:created>
  <dcterms:modified xsi:type="dcterms:W3CDTF">2016-05-31T18:55:00Z</dcterms:modified>
</cp:coreProperties>
</file>