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1" w:type="dxa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7741"/>
      </w:tblGrid>
      <w:tr w:rsidR="00995224" w:rsidRPr="00ED41E0" w:rsidTr="004F6959">
        <w:tc>
          <w:tcPr>
            <w:tcW w:w="2160" w:type="dxa"/>
          </w:tcPr>
          <w:p w:rsidR="00995224" w:rsidRPr="00ED41E0" w:rsidRDefault="00995224" w:rsidP="004F6959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ED41E0">
              <w:rPr>
                <w:rFonts w:ascii="Arial" w:hAnsi="Arial" w:cs="Arial"/>
                <w:b/>
                <w:sz w:val="23"/>
                <w:szCs w:val="23"/>
              </w:rPr>
              <w:t>Processo nº:</w:t>
            </w:r>
          </w:p>
        </w:tc>
        <w:tc>
          <w:tcPr>
            <w:tcW w:w="7741" w:type="dxa"/>
          </w:tcPr>
          <w:p w:rsidR="00995224" w:rsidRPr="00ED41E0" w:rsidRDefault="00995224" w:rsidP="004F6959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944.713</w:t>
            </w:r>
          </w:p>
        </w:tc>
      </w:tr>
      <w:tr w:rsidR="00995224" w:rsidRPr="00ED41E0" w:rsidTr="004F6959">
        <w:tc>
          <w:tcPr>
            <w:tcW w:w="2160" w:type="dxa"/>
          </w:tcPr>
          <w:p w:rsidR="00995224" w:rsidRPr="00ED41E0" w:rsidRDefault="00995224" w:rsidP="004F6959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ED41E0">
              <w:rPr>
                <w:rFonts w:ascii="Arial" w:hAnsi="Arial" w:cs="Arial"/>
                <w:b/>
                <w:sz w:val="23"/>
                <w:szCs w:val="23"/>
              </w:rPr>
              <w:t>Natureza:</w:t>
            </w:r>
          </w:p>
        </w:tc>
        <w:tc>
          <w:tcPr>
            <w:tcW w:w="7741" w:type="dxa"/>
          </w:tcPr>
          <w:p w:rsidR="00995224" w:rsidRPr="00ED41E0" w:rsidRDefault="00995224" w:rsidP="004F6959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D41E0">
              <w:rPr>
                <w:rFonts w:ascii="Arial" w:hAnsi="Arial" w:cs="Arial"/>
                <w:sz w:val="23"/>
                <w:szCs w:val="23"/>
              </w:rPr>
              <w:t>Denúncia</w:t>
            </w:r>
          </w:p>
        </w:tc>
      </w:tr>
      <w:tr w:rsidR="00995224" w:rsidRPr="00ED41E0" w:rsidTr="004F6959">
        <w:tc>
          <w:tcPr>
            <w:tcW w:w="2160" w:type="dxa"/>
          </w:tcPr>
          <w:p w:rsidR="00995224" w:rsidRPr="00ED41E0" w:rsidRDefault="00995224" w:rsidP="004F6959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ED41E0">
              <w:rPr>
                <w:rFonts w:ascii="Arial" w:hAnsi="Arial" w:cs="Arial"/>
                <w:b/>
                <w:sz w:val="23"/>
                <w:szCs w:val="23"/>
              </w:rPr>
              <w:t>Denunciante:</w:t>
            </w:r>
          </w:p>
        </w:tc>
        <w:tc>
          <w:tcPr>
            <w:tcW w:w="7741" w:type="dxa"/>
          </w:tcPr>
          <w:p w:rsidR="00995224" w:rsidRPr="00ED41E0" w:rsidRDefault="00995224" w:rsidP="004F6959">
            <w:pPr>
              <w:tabs>
                <w:tab w:val="right" w:pos="6923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Eduardo Antônio Rabelo</w:t>
            </w:r>
          </w:p>
        </w:tc>
      </w:tr>
      <w:tr w:rsidR="00995224" w:rsidRPr="00ED41E0" w:rsidTr="004F6959">
        <w:tc>
          <w:tcPr>
            <w:tcW w:w="2160" w:type="dxa"/>
          </w:tcPr>
          <w:p w:rsidR="00995224" w:rsidRPr="00ED41E0" w:rsidRDefault="00995224" w:rsidP="004F6959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ED41E0">
              <w:rPr>
                <w:rFonts w:ascii="Arial" w:hAnsi="Arial" w:cs="Arial"/>
                <w:b/>
                <w:sz w:val="23"/>
                <w:szCs w:val="23"/>
              </w:rPr>
              <w:t xml:space="preserve">Jurisdicionado: </w:t>
            </w:r>
          </w:p>
        </w:tc>
        <w:tc>
          <w:tcPr>
            <w:tcW w:w="7741" w:type="dxa"/>
          </w:tcPr>
          <w:p w:rsidR="00995224" w:rsidRPr="00ED41E0" w:rsidRDefault="00995224" w:rsidP="00995224">
            <w:pPr>
              <w:tabs>
                <w:tab w:val="right" w:pos="6923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D41E0">
              <w:rPr>
                <w:rFonts w:ascii="Arial" w:hAnsi="Arial" w:cs="Arial"/>
                <w:sz w:val="23"/>
                <w:szCs w:val="23"/>
              </w:rPr>
              <w:t xml:space="preserve">Poder Executivo do Município de </w:t>
            </w:r>
            <w:r>
              <w:rPr>
                <w:rFonts w:ascii="Arial" w:hAnsi="Arial" w:cs="Arial"/>
                <w:sz w:val="23"/>
                <w:szCs w:val="23"/>
              </w:rPr>
              <w:t>São Geraldo da Piedade</w:t>
            </w:r>
          </w:p>
        </w:tc>
      </w:tr>
      <w:tr w:rsidR="00995224" w:rsidRPr="00ED41E0" w:rsidTr="004F6959">
        <w:tc>
          <w:tcPr>
            <w:tcW w:w="2160" w:type="dxa"/>
          </w:tcPr>
          <w:p w:rsidR="00995224" w:rsidRPr="00ED41E0" w:rsidRDefault="00995224" w:rsidP="004F6959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ED41E0">
              <w:rPr>
                <w:rFonts w:ascii="Arial" w:hAnsi="Arial" w:cs="Arial"/>
                <w:b/>
                <w:sz w:val="23"/>
                <w:szCs w:val="23"/>
              </w:rPr>
              <w:t xml:space="preserve">Relator:                    </w:t>
            </w:r>
          </w:p>
        </w:tc>
        <w:tc>
          <w:tcPr>
            <w:tcW w:w="7741" w:type="dxa"/>
          </w:tcPr>
          <w:p w:rsidR="00995224" w:rsidRPr="00ED41E0" w:rsidRDefault="00995224" w:rsidP="004F6959">
            <w:pPr>
              <w:tabs>
                <w:tab w:val="right" w:pos="6923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D41E0">
              <w:rPr>
                <w:rFonts w:ascii="Arial" w:hAnsi="Arial" w:cs="Arial"/>
                <w:sz w:val="23"/>
                <w:szCs w:val="23"/>
              </w:rPr>
              <w:t xml:space="preserve">Conselheiro </w:t>
            </w:r>
            <w:r>
              <w:rPr>
                <w:rFonts w:ascii="Arial" w:hAnsi="Arial" w:cs="Arial"/>
                <w:sz w:val="23"/>
                <w:szCs w:val="23"/>
              </w:rPr>
              <w:t xml:space="preserve">Substituto </w:t>
            </w:r>
            <w:r w:rsidR="004F6959">
              <w:rPr>
                <w:rFonts w:ascii="Arial" w:hAnsi="Arial" w:cs="Arial"/>
                <w:sz w:val="23"/>
                <w:szCs w:val="23"/>
              </w:rPr>
              <w:t>Licurgo Mourão</w:t>
            </w:r>
          </w:p>
        </w:tc>
      </w:tr>
    </w:tbl>
    <w:p w:rsidR="00995224" w:rsidRPr="00ED41E0" w:rsidRDefault="00995224" w:rsidP="00995224">
      <w:pPr>
        <w:spacing w:after="200" w:line="360" w:lineRule="auto"/>
        <w:rPr>
          <w:rFonts w:ascii="Arial" w:hAnsi="Arial" w:cs="Arial"/>
          <w:b/>
          <w:sz w:val="23"/>
          <w:szCs w:val="23"/>
          <w:u w:val="single"/>
        </w:rPr>
      </w:pPr>
    </w:p>
    <w:p w:rsidR="00995224" w:rsidRDefault="00995224" w:rsidP="00995224">
      <w:pPr>
        <w:spacing w:after="200"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ED41E0">
        <w:rPr>
          <w:rFonts w:ascii="Arial" w:hAnsi="Arial" w:cs="Arial"/>
          <w:b/>
          <w:sz w:val="23"/>
          <w:szCs w:val="23"/>
          <w:u w:val="single"/>
        </w:rPr>
        <w:t>MANIFESTAÇÃO PRELIMINAR</w:t>
      </w:r>
    </w:p>
    <w:p w:rsidR="00995224" w:rsidRPr="00ED41E0" w:rsidRDefault="00995224" w:rsidP="00995224">
      <w:pPr>
        <w:spacing w:after="200"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995224" w:rsidRDefault="00995224" w:rsidP="00995224">
      <w:pPr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ED41E0">
        <w:rPr>
          <w:rFonts w:ascii="Arial" w:hAnsi="Arial" w:cs="Arial"/>
          <w:sz w:val="23"/>
          <w:szCs w:val="23"/>
        </w:rPr>
        <w:t xml:space="preserve">Excelentíssimo Senhor Relator, </w:t>
      </w:r>
    </w:p>
    <w:p w:rsidR="00995224" w:rsidRPr="00ED41E0" w:rsidRDefault="00995224" w:rsidP="00995224">
      <w:pPr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F6959" w:rsidRDefault="00995224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28370C">
        <w:rPr>
          <w:rFonts w:ascii="Arial" w:hAnsi="Arial" w:cs="Arial"/>
          <w:sz w:val="23"/>
          <w:szCs w:val="23"/>
        </w:rPr>
        <w:t xml:space="preserve">Tratam os autos de denúncia formulada por </w:t>
      </w:r>
      <w:r w:rsidR="004F6959">
        <w:rPr>
          <w:rFonts w:ascii="Arial" w:hAnsi="Arial" w:cs="Arial"/>
          <w:sz w:val="23"/>
          <w:szCs w:val="23"/>
        </w:rPr>
        <w:t>Eduardo Antônio Rabelo em face de exigências contidas</w:t>
      </w:r>
      <w:r w:rsidR="00BF2298">
        <w:rPr>
          <w:rFonts w:ascii="Arial" w:hAnsi="Arial" w:cs="Arial"/>
          <w:sz w:val="23"/>
          <w:szCs w:val="23"/>
        </w:rPr>
        <w:t xml:space="preserve"> na Concorrência Pública nº 002/2014, deflagrada pela Prefeitura Municipal de São Geraldo da Piedade, cujo objeto consiste na delegação da prestação do serviço público de transporte individual por táxi, por meio de contrato de permissão.</w:t>
      </w:r>
    </w:p>
    <w:p w:rsidR="00995224" w:rsidRPr="008A14A8" w:rsidRDefault="00995224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8A14A8">
        <w:rPr>
          <w:rFonts w:ascii="Arial" w:hAnsi="Arial" w:cs="Arial"/>
          <w:sz w:val="23"/>
          <w:szCs w:val="23"/>
        </w:rPr>
        <w:t xml:space="preserve">Recebida (fl. </w:t>
      </w:r>
      <w:r w:rsidR="00BF2298">
        <w:rPr>
          <w:rFonts w:ascii="Arial" w:hAnsi="Arial" w:cs="Arial"/>
          <w:sz w:val="23"/>
          <w:szCs w:val="23"/>
        </w:rPr>
        <w:t>77</w:t>
      </w:r>
      <w:r w:rsidRPr="008A14A8">
        <w:rPr>
          <w:rFonts w:ascii="Arial" w:hAnsi="Arial" w:cs="Arial"/>
          <w:sz w:val="23"/>
          <w:szCs w:val="23"/>
        </w:rPr>
        <w:t xml:space="preserve">), a Denúncia foi distribuída à fl. </w:t>
      </w:r>
      <w:r w:rsidR="00BF2298">
        <w:rPr>
          <w:rFonts w:ascii="Arial" w:hAnsi="Arial" w:cs="Arial"/>
          <w:sz w:val="23"/>
          <w:szCs w:val="23"/>
        </w:rPr>
        <w:t>78</w:t>
      </w:r>
      <w:r w:rsidRPr="008A14A8">
        <w:rPr>
          <w:rFonts w:ascii="Arial" w:hAnsi="Arial" w:cs="Arial"/>
          <w:sz w:val="23"/>
          <w:szCs w:val="23"/>
        </w:rPr>
        <w:t>, tendo o Relator determinado a suspensã</w:t>
      </w:r>
      <w:r w:rsidR="00BF2298">
        <w:rPr>
          <w:rFonts w:ascii="Arial" w:hAnsi="Arial" w:cs="Arial"/>
          <w:sz w:val="23"/>
          <w:szCs w:val="23"/>
        </w:rPr>
        <w:t>o liminar do certame (fls. 79/81</w:t>
      </w:r>
      <w:r w:rsidRPr="008A14A8">
        <w:rPr>
          <w:rFonts w:ascii="Arial" w:hAnsi="Arial" w:cs="Arial"/>
          <w:sz w:val="23"/>
          <w:szCs w:val="23"/>
        </w:rPr>
        <w:t>), em decisão referendada pelo coleg</w:t>
      </w:r>
      <w:r w:rsidR="00BF2298">
        <w:rPr>
          <w:rFonts w:ascii="Arial" w:hAnsi="Arial" w:cs="Arial"/>
          <w:sz w:val="23"/>
          <w:szCs w:val="23"/>
        </w:rPr>
        <w:t>iado na sessão do dia 03/02/2015</w:t>
      </w:r>
      <w:r w:rsidRPr="008A14A8">
        <w:rPr>
          <w:rFonts w:ascii="Arial" w:hAnsi="Arial" w:cs="Arial"/>
          <w:sz w:val="23"/>
          <w:szCs w:val="23"/>
        </w:rPr>
        <w:t xml:space="preserve"> (fls. </w:t>
      </w:r>
      <w:r w:rsidR="00BF2298">
        <w:rPr>
          <w:rFonts w:ascii="Arial" w:hAnsi="Arial" w:cs="Arial"/>
          <w:sz w:val="23"/>
          <w:szCs w:val="23"/>
        </w:rPr>
        <w:t>88/90</w:t>
      </w:r>
      <w:r w:rsidRPr="008A14A8">
        <w:rPr>
          <w:rFonts w:ascii="Arial" w:hAnsi="Arial" w:cs="Arial"/>
          <w:sz w:val="23"/>
          <w:szCs w:val="23"/>
        </w:rPr>
        <w:t>).</w:t>
      </w:r>
    </w:p>
    <w:p w:rsidR="00995224" w:rsidRPr="008A14A8" w:rsidRDefault="00995224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8A14A8">
        <w:rPr>
          <w:rFonts w:ascii="Arial" w:hAnsi="Arial" w:cs="Arial"/>
          <w:sz w:val="23"/>
          <w:szCs w:val="23"/>
        </w:rPr>
        <w:t xml:space="preserve">Regularmente </w:t>
      </w:r>
      <w:r w:rsidRPr="004F403B">
        <w:rPr>
          <w:rFonts w:ascii="Arial" w:hAnsi="Arial" w:cs="Arial"/>
          <w:sz w:val="23"/>
          <w:szCs w:val="23"/>
        </w:rPr>
        <w:t>intimados</w:t>
      </w:r>
      <w:r w:rsidR="009928CD" w:rsidRPr="004F403B">
        <w:rPr>
          <w:rFonts w:ascii="Arial" w:hAnsi="Arial" w:cs="Arial"/>
          <w:sz w:val="23"/>
          <w:szCs w:val="23"/>
        </w:rPr>
        <w:t>,</w:t>
      </w:r>
      <w:r w:rsidRPr="004F403B">
        <w:rPr>
          <w:rFonts w:ascii="Arial" w:hAnsi="Arial" w:cs="Arial"/>
          <w:sz w:val="23"/>
          <w:szCs w:val="23"/>
        </w:rPr>
        <w:t xml:space="preserve"> </w:t>
      </w:r>
      <w:r w:rsidR="00BF2298" w:rsidRPr="004F403B">
        <w:rPr>
          <w:rFonts w:ascii="Arial" w:hAnsi="Arial" w:cs="Arial"/>
          <w:sz w:val="23"/>
          <w:szCs w:val="23"/>
        </w:rPr>
        <w:t>o Prefeito Municipal e a Presidente da Comissão Permanente de Licitação</w:t>
      </w:r>
      <w:r w:rsidRPr="004F403B">
        <w:rPr>
          <w:rFonts w:ascii="Arial" w:hAnsi="Arial" w:cs="Arial"/>
          <w:sz w:val="23"/>
          <w:szCs w:val="23"/>
        </w:rPr>
        <w:t xml:space="preserve"> </w:t>
      </w:r>
      <w:r w:rsidR="009928CD" w:rsidRPr="004F403B">
        <w:rPr>
          <w:rFonts w:ascii="Arial" w:hAnsi="Arial" w:cs="Arial"/>
          <w:sz w:val="23"/>
          <w:szCs w:val="23"/>
        </w:rPr>
        <w:t xml:space="preserve">comprovaram </w:t>
      </w:r>
      <w:r w:rsidRPr="004F403B">
        <w:rPr>
          <w:rFonts w:ascii="Arial" w:hAnsi="Arial" w:cs="Arial"/>
          <w:sz w:val="23"/>
          <w:szCs w:val="23"/>
        </w:rPr>
        <w:t>a suspensão</w:t>
      </w:r>
      <w:r w:rsidR="009928CD" w:rsidRPr="004F403B">
        <w:rPr>
          <w:rFonts w:ascii="Arial" w:hAnsi="Arial" w:cs="Arial"/>
          <w:sz w:val="23"/>
          <w:szCs w:val="23"/>
        </w:rPr>
        <w:t xml:space="preserve"> do certame</w:t>
      </w:r>
      <w:r w:rsidRPr="004F403B">
        <w:rPr>
          <w:rFonts w:ascii="Arial" w:hAnsi="Arial" w:cs="Arial"/>
          <w:sz w:val="23"/>
          <w:szCs w:val="23"/>
        </w:rPr>
        <w:t xml:space="preserve">, bem como </w:t>
      </w:r>
      <w:r w:rsidR="009928CD" w:rsidRPr="004F403B">
        <w:rPr>
          <w:rFonts w:ascii="Arial" w:hAnsi="Arial" w:cs="Arial"/>
          <w:sz w:val="23"/>
          <w:szCs w:val="23"/>
        </w:rPr>
        <w:t xml:space="preserve">encaminharam </w:t>
      </w:r>
      <w:r w:rsidRPr="004F403B">
        <w:rPr>
          <w:rFonts w:ascii="Arial" w:hAnsi="Arial" w:cs="Arial"/>
          <w:sz w:val="23"/>
          <w:szCs w:val="23"/>
        </w:rPr>
        <w:t>cópia integral do</w:t>
      </w:r>
      <w:r w:rsidR="000A269C">
        <w:rPr>
          <w:rFonts w:ascii="Arial" w:hAnsi="Arial" w:cs="Arial"/>
          <w:sz w:val="23"/>
          <w:szCs w:val="23"/>
        </w:rPr>
        <w:t>s autos do</w:t>
      </w:r>
      <w:r w:rsidRPr="004F403B">
        <w:rPr>
          <w:rFonts w:ascii="Arial" w:hAnsi="Arial" w:cs="Arial"/>
          <w:sz w:val="23"/>
          <w:szCs w:val="23"/>
        </w:rPr>
        <w:t xml:space="preserve"> proce</w:t>
      </w:r>
      <w:r w:rsidR="000A269C">
        <w:rPr>
          <w:rFonts w:ascii="Arial" w:hAnsi="Arial" w:cs="Arial"/>
          <w:sz w:val="23"/>
          <w:szCs w:val="23"/>
        </w:rPr>
        <w:t>dimento</w:t>
      </w:r>
      <w:r w:rsidRPr="008A14A8">
        <w:rPr>
          <w:rFonts w:ascii="Arial" w:hAnsi="Arial" w:cs="Arial"/>
          <w:sz w:val="23"/>
          <w:szCs w:val="23"/>
        </w:rPr>
        <w:t xml:space="preserve"> licitatório</w:t>
      </w:r>
      <w:r w:rsidR="00BF2298">
        <w:rPr>
          <w:rFonts w:ascii="Arial" w:hAnsi="Arial" w:cs="Arial"/>
          <w:sz w:val="23"/>
          <w:szCs w:val="23"/>
        </w:rPr>
        <w:t xml:space="preserve"> (</w:t>
      </w:r>
      <w:r w:rsidRPr="008A14A8">
        <w:rPr>
          <w:rFonts w:ascii="Arial" w:hAnsi="Arial" w:cs="Arial"/>
          <w:sz w:val="23"/>
          <w:szCs w:val="23"/>
        </w:rPr>
        <w:t xml:space="preserve">fls. </w:t>
      </w:r>
      <w:r w:rsidR="00BF2298">
        <w:rPr>
          <w:rFonts w:ascii="Arial" w:hAnsi="Arial" w:cs="Arial"/>
          <w:sz w:val="23"/>
          <w:szCs w:val="23"/>
        </w:rPr>
        <w:t>91/477)</w:t>
      </w:r>
      <w:r w:rsidRPr="008A14A8">
        <w:rPr>
          <w:rFonts w:ascii="Arial" w:hAnsi="Arial" w:cs="Arial"/>
          <w:sz w:val="23"/>
          <w:szCs w:val="23"/>
        </w:rPr>
        <w:t>.</w:t>
      </w:r>
    </w:p>
    <w:p w:rsidR="00BF2298" w:rsidRDefault="00995224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8A14A8">
        <w:rPr>
          <w:rFonts w:ascii="Arial" w:hAnsi="Arial" w:cs="Arial"/>
          <w:sz w:val="23"/>
          <w:szCs w:val="23"/>
        </w:rPr>
        <w:t xml:space="preserve">A </w:t>
      </w:r>
      <w:r w:rsidR="00D72479">
        <w:rPr>
          <w:rFonts w:ascii="Arial" w:hAnsi="Arial" w:cs="Arial"/>
          <w:sz w:val="23"/>
          <w:szCs w:val="23"/>
        </w:rPr>
        <w:t>Unidade Técnica</w:t>
      </w:r>
      <w:r w:rsidRPr="008A14A8">
        <w:rPr>
          <w:rFonts w:ascii="Arial" w:hAnsi="Arial" w:cs="Arial"/>
          <w:sz w:val="23"/>
          <w:szCs w:val="23"/>
        </w:rPr>
        <w:t xml:space="preserve"> procedeu ao exame</w:t>
      </w:r>
      <w:r>
        <w:rPr>
          <w:rFonts w:ascii="Arial" w:hAnsi="Arial" w:cs="Arial"/>
          <w:sz w:val="23"/>
          <w:szCs w:val="23"/>
        </w:rPr>
        <w:t xml:space="preserve"> às fls. </w:t>
      </w:r>
      <w:r w:rsidR="00BF2298">
        <w:rPr>
          <w:rFonts w:ascii="Arial" w:hAnsi="Arial" w:cs="Arial"/>
          <w:sz w:val="23"/>
          <w:szCs w:val="23"/>
        </w:rPr>
        <w:t>480/487</w:t>
      </w:r>
      <w:r>
        <w:rPr>
          <w:rFonts w:ascii="Arial" w:hAnsi="Arial" w:cs="Arial"/>
          <w:sz w:val="23"/>
          <w:szCs w:val="23"/>
        </w:rPr>
        <w:t xml:space="preserve">, em que apontou as seguintes irregularidades: a) </w:t>
      </w:r>
      <w:r w:rsidR="00BF2298">
        <w:rPr>
          <w:rFonts w:ascii="Arial" w:hAnsi="Arial" w:cs="Arial"/>
          <w:sz w:val="23"/>
          <w:szCs w:val="23"/>
        </w:rPr>
        <w:t>vedação à participação de prest</w:t>
      </w:r>
      <w:r w:rsidR="000A269C">
        <w:rPr>
          <w:rFonts w:ascii="Arial" w:hAnsi="Arial" w:cs="Arial"/>
          <w:sz w:val="23"/>
          <w:szCs w:val="23"/>
        </w:rPr>
        <w:t>ador d</w:t>
      </w:r>
      <w:r w:rsidR="00BF2298">
        <w:rPr>
          <w:rFonts w:ascii="Arial" w:hAnsi="Arial" w:cs="Arial"/>
          <w:sz w:val="23"/>
          <w:szCs w:val="23"/>
        </w:rPr>
        <w:t>o mesmo serviço em outro município; b) vedação à participação de interessados que apresentem habilitação provisória; c) contagem de tempo de habilitação como critério de pontuação</w:t>
      </w:r>
      <w:r w:rsidR="009975F1">
        <w:rPr>
          <w:rFonts w:ascii="Arial" w:hAnsi="Arial" w:cs="Arial"/>
          <w:sz w:val="23"/>
          <w:szCs w:val="23"/>
        </w:rPr>
        <w:t>; d) ausência do projeto b</w:t>
      </w:r>
      <w:r w:rsidR="008F326D">
        <w:rPr>
          <w:rFonts w:ascii="Arial" w:hAnsi="Arial" w:cs="Arial"/>
          <w:sz w:val="23"/>
          <w:szCs w:val="23"/>
        </w:rPr>
        <w:t>ásico ou termo de referência como anexo do edital</w:t>
      </w:r>
      <w:r w:rsidR="00D72479">
        <w:rPr>
          <w:rFonts w:ascii="Arial" w:hAnsi="Arial" w:cs="Arial"/>
          <w:sz w:val="23"/>
          <w:szCs w:val="23"/>
        </w:rPr>
        <w:t>.</w:t>
      </w:r>
    </w:p>
    <w:p w:rsidR="00995224" w:rsidRDefault="00995224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Vieram, então, os autos ao Ministério Público.</w:t>
      </w:r>
    </w:p>
    <w:p w:rsidR="00995224" w:rsidRDefault="00995224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É o relatório</w:t>
      </w:r>
      <w:r w:rsidR="00D72479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no essencial.</w:t>
      </w:r>
    </w:p>
    <w:p w:rsidR="00995224" w:rsidRPr="00026545" w:rsidRDefault="00F7155F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</w:t>
      </w:r>
      <w:r w:rsidR="00995224" w:rsidRPr="00026545">
        <w:rPr>
          <w:rFonts w:ascii="Arial" w:hAnsi="Arial" w:cs="Arial"/>
          <w:sz w:val="23"/>
          <w:szCs w:val="23"/>
        </w:rPr>
        <w:t>os termos do art. 61, §3º, do Regimento Interno desta Corte, este Ministério Público de Contas vem aos autos apresentar o</w:t>
      </w:r>
      <w:r w:rsidR="00D72479">
        <w:rPr>
          <w:rFonts w:ascii="Arial" w:hAnsi="Arial" w:cs="Arial"/>
          <w:sz w:val="23"/>
          <w:szCs w:val="23"/>
        </w:rPr>
        <w:t>s</w:t>
      </w:r>
      <w:r w:rsidR="00995224" w:rsidRPr="00026545">
        <w:rPr>
          <w:rFonts w:ascii="Arial" w:hAnsi="Arial" w:cs="Arial"/>
          <w:sz w:val="23"/>
          <w:szCs w:val="23"/>
        </w:rPr>
        <w:t xml:space="preserve"> seguinte</w:t>
      </w:r>
      <w:r w:rsidR="00D72479">
        <w:rPr>
          <w:rFonts w:ascii="Arial" w:hAnsi="Arial" w:cs="Arial"/>
          <w:sz w:val="23"/>
          <w:szCs w:val="23"/>
        </w:rPr>
        <w:t>s</w:t>
      </w:r>
      <w:r w:rsidR="00995224" w:rsidRPr="00026545">
        <w:rPr>
          <w:rFonts w:ascii="Arial" w:hAnsi="Arial" w:cs="Arial"/>
          <w:sz w:val="23"/>
          <w:szCs w:val="23"/>
        </w:rPr>
        <w:t xml:space="preserve"> apontamento</w:t>
      </w:r>
      <w:r w:rsidR="00D72479">
        <w:rPr>
          <w:rFonts w:ascii="Arial" w:hAnsi="Arial" w:cs="Arial"/>
          <w:sz w:val="23"/>
          <w:szCs w:val="23"/>
        </w:rPr>
        <w:t>s</w:t>
      </w:r>
      <w:r w:rsidR="00995224" w:rsidRPr="00026545">
        <w:rPr>
          <w:rFonts w:ascii="Arial" w:hAnsi="Arial" w:cs="Arial"/>
          <w:sz w:val="23"/>
          <w:szCs w:val="23"/>
        </w:rPr>
        <w:t xml:space="preserve"> complementar</w:t>
      </w:r>
      <w:r w:rsidR="00D72479">
        <w:rPr>
          <w:rFonts w:ascii="Arial" w:hAnsi="Arial" w:cs="Arial"/>
          <w:sz w:val="23"/>
          <w:szCs w:val="23"/>
        </w:rPr>
        <w:t>es</w:t>
      </w:r>
      <w:r w:rsidR="00995224" w:rsidRPr="00026545">
        <w:rPr>
          <w:rFonts w:ascii="Arial" w:hAnsi="Arial" w:cs="Arial"/>
          <w:sz w:val="23"/>
          <w:szCs w:val="23"/>
        </w:rPr>
        <w:t xml:space="preserve"> às irregularidades indicadas pela Unidade Técnica:</w:t>
      </w:r>
    </w:p>
    <w:p w:rsidR="00995224" w:rsidRPr="000E226A" w:rsidRDefault="005B191F" w:rsidP="00995224">
      <w:pPr>
        <w:tabs>
          <w:tab w:val="left" w:pos="1418"/>
        </w:tabs>
        <w:spacing w:after="200" w:line="36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</w:t>
      </w:r>
      <w:r w:rsidR="009967A5">
        <w:rPr>
          <w:rFonts w:ascii="Arial" w:hAnsi="Arial" w:cs="Arial"/>
          <w:b/>
          <w:sz w:val="23"/>
          <w:szCs w:val="23"/>
        </w:rPr>
        <w:t xml:space="preserve">o valor </w:t>
      </w:r>
      <w:r>
        <w:rPr>
          <w:rFonts w:ascii="Arial" w:hAnsi="Arial" w:cs="Arial"/>
          <w:b/>
          <w:sz w:val="23"/>
          <w:szCs w:val="23"/>
        </w:rPr>
        <w:t>da tarifa e dos seus critérios de reajuste e revisão</w:t>
      </w:r>
      <w:r w:rsidR="00995224">
        <w:rPr>
          <w:rFonts w:ascii="Arial" w:hAnsi="Arial" w:cs="Arial"/>
          <w:b/>
          <w:sz w:val="23"/>
          <w:szCs w:val="23"/>
        </w:rPr>
        <w:t xml:space="preserve"> </w:t>
      </w:r>
    </w:p>
    <w:p w:rsidR="005B191F" w:rsidRDefault="000A269C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</w:t>
      </w:r>
      <w:r w:rsidR="00F7155F">
        <w:rPr>
          <w:rFonts w:ascii="Arial" w:hAnsi="Arial" w:cs="Arial"/>
          <w:sz w:val="23"/>
          <w:szCs w:val="23"/>
        </w:rPr>
        <w:t xml:space="preserve">erifica-se que a única referência à tarifa a ser paga aos futuros contratados consta do item 3.1, que se limita a </w:t>
      </w:r>
      <w:r>
        <w:rPr>
          <w:rFonts w:ascii="Arial" w:hAnsi="Arial" w:cs="Arial"/>
          <w:sz w:val="23"/>
          <w:szCs w:val="23"/>
        </w:rPr>
        <w:t xml:space="preserve">dispor </w:t>
      </w:r>
      <w:r w:rsidR="00F7155F">
        <w:rPr>
          <w:rFonts w:ascii="Arial" w:hAnsi="Arial" w:cs="Arial"/>
          <w:sz w:val="23"/>
          <w:szCs w:val="23"/>
        </w:rPr>
        <w:t>que será fixada pela Municipalidade “em função da justa remuneração dos investimentos e do custo operacional”.</w:t>
      </w:r>
      <w:r w:rsidR="000D3CF5">
        <w:rPr>
          <w:rFonts w:ascii="Arial" w:hAnsi="Arial" w:cs="Arial"/>
          <w:sz w:val="23"/>
          <w:szCs w:val="23"/>
        </w:rPr>
        <w:t xml:space="preserve"> O mesmo texto foi reproduzido na Cláusula Décima Terceira da Minuta de Termo de Permissão, que corresponde ao Anexo II do edital.</w:t>
      </w:r>
    </w:p>
    <w:p w:rsidR="002752FC" w:rsidRDefault="002752FC" w:rsidP="00D432C6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Diferentemente </w:t>
      </w:r>
      <w:r w:rsidR="00D432C6">
        <w:rPr>
          <w:rFonts w:ascii="Arial" w:hAnsi="Arial" w:cs="Arial"/>
          <w:sz w:val="23"/>
          <w:szCs w:val="23"/>
        </w:rPr>
        <w:t>de outros objetos, em que a contraprestação</w:t>
      </w:r>
      <w:r w:rsidR="00631812">
        <w:rPr>
          <w:rFonts w:ascii="Arial" w:hAnsi="Arial" w:cs="Arial"/>
          <w:sz w:val="23"/>
          <w:szCs w:val="23"/>
        </w:rPr>
        <w:t xml:space="preserve"> em geral</w:t>
      </w:r>
      <w:r w:rsidR="00D432C6">
        <w:rPr>
          <w:rFonts w:ascii="Arial" w:hAnsi="Arial" w:cs="Arial"/>
          <w:sz w:val="23"/>
          <w:szCs w:val="23"/>
        </w:rPr>
        <w:t xml:space="preserve"> é </w:t>
      </w:r>
      <w:r w:rsidR="0080305E">
        <w:rPr>
          <w:rFonts w:ascii="Arial" w:hAnsi="Arial" w:cs="Arial"/>
          <w:sz w:val="23"/>
          <w:szCs w:val="23"/>
        </w:rPr>
        <w:t>paga</w:t>
      </w:r>
      <w:r w:rsidR="00D432C6">
        <w:rPr>
          <w:rFonts w:ascii="Arial" w:hAnsi="Arial" w:cs="Arial"/>
          <w:sz w:val="23"/>
          <w:szCs w:val="23"/>
        </w:rPr>
        <w:t xml:space="preserve"> pelo próprio ente público com suas receitas, na delegação </w:t>
      </w:r>
      <w:r w:rsidRPr="00D432C6">
        <w:rPr>
          <w:rFonts w:ascii="Arial" w:hAnsi="Arial" w:cs="Arial"/>
          <w:sz w:val="23"/>
          <w:szCs w:val="23"/>
        </w:rPr>
        <w:t xml:space="preserve">dos serviços públicos, seja por concessão ou permissão, </w:t>
      </w:r>
      <w:r w:rsidR="00D432C6">
        <w:rPr>
          <w:rFonts w:ascii="Arial" w:hAnsi="Arial" w:cs="Arial"/>
          <w:sz w:val="23"/>
          <w:szCs w:val="23"/>
        </w:rPr>
        <w:t>a regra é que os contratados sejam remunerados pelo particular, usuário do serviço, por meio de tarifa.</w:t>
      </w:r>
    </w:p>
    <w:p w:rsidR="00F248C1" w:rsidRDefault="00D432C6" w:rsidP="00D432C6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Lei nº 8.987, de 1995, ao disciplinar o regime de concessão</w:t>
      </w:r>
      <w:r w:rsidR="005113CF">
        <w:rPr>
          <w:rFonts w:ascii="Arial" w:hAnsi="Arial" w:cs="Arial"/>
          <w:sz w:val="23"/>
          <w:szCs w:val="23"/>
        </w:rPr>
        <w:t xml:space="preserve"> comum</w:t>
      </w:r>
      <w:r>
        <w:rPr>
          <w:rFonts w:ascii="Arial" w:hAnsi="Arial" w:cs="Arial"/>
          <w:sz w:val="23"/>
          <w:szCs w:val="23"/>
        </w:rPr>
        <w:t xml:space="preserve"> e permissão no ordenamento jurídico brasileiro, definiu padrões de política tarifária</w:t>
      </w:r>
      <w:r w:rsidR="00F248C1">
        <w:rPr>
          <w:rFonts w:ascii="Arial" w:hAnsi="Arial" w:cs="Arial"/>
          <w:sz w:val="23"/>
          <w:szCs w:val="23"/>
        </w:rPr>
        <w:t>, com vistas a estimular</w:t>
      </w:r>
      <w:r w:rsidR="00AF1C25">
        <w:rPr>
          <w:rFonts w:ascii="Arial" w:hAnsi="Arial" w:cs="Arial"/>
          <w:sz w:val="23"/>
          <w:szCs w:val="23"/>
        </w:rPr>
        <w:t xml:space="preserve"> o acesso da sociedade aos serviços prestados</w:t>
      </w:r>
      <w:r w:rsidR="009B7C33">
        <w:rPr>
          <w:rFonts w:ascii="Arial" w:hAnsi="Arial" w:cs="Arial"/>
          <w:sz w:val="23"/>
          <w:szCs w:val="23"/>
        </w:rPr>
        <w:t xml:space="preserve">, contexto em que se conferiu especial atenção às iniciativas que </w:t>
      </w:r>
      <w:r w:rsidR="00E96B0B">
        <w:rPr>
          <w:rFonts w:ascii="Arial" w:hAnsi="Arial" w:cs="Arial"/>
          <w:sz w:val="23"/>
          <w:szCs w:val="23"/>
        </w:rPr>
        <w:t xml:space="preserve">contribuam para a </w:t>
      </w:r>
      <w:r w:rsidR="009B7C33">
        <w:rPr>
          <w:rFonts w:ascii="Arial" w:hAnsi="Arial" w:cs="Arial"/>
          <w:sz w:val="23"/>
          <w:szCs w:val="23"/>
        </w:rPr>
        <w:t>modicidade da tarifa</w:t>
      </w:r>
      <w:r w:rsidR="00CA5B35">
        <w:rPr>
          <w:rFonts w:ascii="Arial" w:hAnsi="Arial" w:cs="Arial"/>
          <w:sz w:val="23"/>
          <w:szCs w:val="23"/>
        </w:rPr>
        <w:t xml:space="preserve">, hoje elevada à </w:t>
      </w:r>
      <w:r w:rsidR="00A34D01">
        <w:rPr>
          <w:rFonts w:ascii="Arial" w:hAnsi="Arial" w:cs="Arial"/>
          <w:sz w:val="23"/>
          <w:szCs w:val="23"/>
        </w:rPr>
        <w:t xml:space="preserve">condição </w:t>
      </w:r>
      <w:r w:rsidR="00CA5B35">
        <w:rPr>
          <w:rFonts w:ascii="Arial" w:hAnsi="Arial" w:cs="Arial"/>
          <w:sz w:val="23"/>
          <w:szCs w:val="23"/>
        </w:rPr>
        <w:t>de princípio</w:t>
      </w:r>
      <w:r w:rsidR="009B7C33">
        <w:rPr>
          <w:rFonts w:ascii="Arial" w:hAnsi="Arial" w:cs="Arial"/>
          <w:sz w:val="23"/>
          <w:szCs w:val="23"/>
        </w:rPr>
        <w:t>.</w:t>
      </w:r>
    </w:p>
    <w:p w:rsidR="003305DA" w:rsidRPr="00B46E79" w:rsidRDefault="003305DA" w:rsidP="00D432C6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B46E79">
        <w:rPr>
          <w:rFonts w:ascii="Arial" w:hAnsi="Arial" w:cs="Arial"/>
          <w:sz w:val="23"/>
          <w:szCs w:val="23"/>
        </w:rPr>
        <w:t xml:space="preserve">A legislação, embora tenha enfocado a proteção do cidadão usuário dos serviços, não se descurou da necessidade de garantir ao concessionário/permissionário a justa remuneração pela prestação do objeto, </w:t>
      </w:r>
      <w:r w:rsidR="0066278E" w:rsidRPr="00B46E79">
        <w:rPr>
          <w:rFonts w:ascii="Arial" w:hAnsi="Arial" w:cs="Arial"/>
          <w:sz w:val="23"/>
          <w:szCs w:val="23"/>
        </w:rPr>
        <w:t xml:space="preserve">considerando, inclusive, </w:t>
      </w:r>
      <w:r w:rsidR="00B46E79" w:rsidRPr="00B46E79">
        <w:rPr>
          <w:rFonts w:ascii="Arial" w:hAnsi="Arial" w:cs="Arial"/>
          <w:sz w:val="23"/>
          <w:szCs w:val="23"/>
        </w:rPr>
        <w:t>que</w:t>
      </w:r>
      <w:r w:rsidR="0066278E" w:rsidRPr="00B46E79">
        <w:rPr>
          <w:rFonts w:ascii="Arial" w:hAnsi="Arial" w:cs="Arial"/>
          <w:sz w:val="23"/>
          <w:szCs w:val="23"/>
        </w:rPr>
        <w:t xml:space="preserve"> a delegação </w:t>
      </w:r>
      <w:r w:rsidR="00631812">
        <w:rPr>
          <w:rFonts w:ascii="Arial" w:hAnsi="Arial" w:cs="Arial"/>
          <w:sz w:val="23"/>
          <w:szCs w:val="23"/>
        </w:rPr>
        <w:t xml:space="preserve">apresenta </w:t>
      </w:r>
      <w:r w:rsidR="0066278E" w:rsidRPr="00B46E79">
        <w:rPr>
          <w:rFonts w:ascii="Arial" w:hAnsi="Arial" w:cs="Arial"/>
          <w:sz w:val="23"/>
          <w:szCs w:val="23"/>
        </w:rPr>
        <w:t>prazos extensos e</w:t>
      </w:r>
      <w:r w:rsidR="00B46E79">
        <w:rPr>
          <w:rFonts w:ascii="Arial" w:hAnsi="Arial" w:cs="Arial"/>
          <w:sz w:val="23"/>
          <w:szCs w:val="23"/>
        </w:rPr>
        <w:t>, por isso,</w:t>
      </w:r>
      <w:r w:rsidR="0066278E" w:rsidRPr="00B46E79">
        <w:rPr>
          <w:rFonts w:ascii="Arial" w:hAnsi="Arial" w:cs="Arial"/>
          <w:sz w:val="23"/>
          <w:szCs w:val="23"/>
        </w:rPr>
        <w:t xml:space="preserve"> demanda ações para manutenção do equilíbrio econômico-financeiro ao longo </w:t>
      </w:r>
      <w:r w:rsidR="00C86C06">
        <w:rPr>
          <w:rFonts w:ascii="Arial" w:hAnsi="Arial" w:cs="Arial"/>
          <w:sz w:val="23"/>
          <w:szCs w:val="23"/>
        </w:rPr>
        <w:t>da sua vigência</w:t>
      </w:r>
      <w:r w:rsidR="0066278E" w:rsidRPr="00B46E79">
        <w:rPr>
          <w:rFonts w:ascii="Arial" w:hAnsi="Arial" w:cs="Arial"/>
          <w:sz w:val="23"/>
          <w:szCs w:val="23"/>
        </w:rPr>
        <w:t>.</w:t>
      </w:r>
    </w:p>
    <w:p w:rsidR="00A72245" w:rsidRDefault="000A269C" w:rsidP="006A4536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Nesse sentido dispõe </w:t>
      </w:r>
      <w:r w:rsidR="0066278E">
        <w:rPr>
          <w:rFonts w:ascii="Arial" w:hAnsi="Arial" w:cs="Arial"/>
          <w:sz w:val="23"/>
          <w:szCs w:val="23"/>
        </w:rPr>
        <w:t xml:space="preserve">a Lei nº 8.987, de 1995, </w:t>
      </w:r>
      <w:r w:rsidR="006A4536">
        <w:rPr>
          <w:rFonts w:ascii="Arial" w:hAnsi="Arial" w:cs="Arial"/>
          <w:sz w:val="23"/>
          <w:szCs w:val="23"/>
        </w:rPr>
        <w:t>inclusive nas disposições aplicáveis</w:t>
      </w:r>
      <w:r w:rsidR="0066278E">
        <w:rPr>
          <w:rFonts w:ascii="Arial" w:hAnsi="Arial" w:cs="Arial"/>
          <w:sz w:val="23"/>
          <w:szCs w:val="23"/>
        </w:rPr>
        <w:t xml:space="preserve"> ao momento da realização da licitação</w:t>
      </w:r>
      <w:r w:rsidR="006A4536">
        <w:rPr>
          <w:rFonts w:ascii="Arial" w:hAnsi="Arial" w:cs="Arial"/>
          <w:sz w:val="23"/>
          <w:szCs w:val="23"/>
        </w:rPr>
        <w:t xml:space="preserve">, constantes do art. 18, </w:t>
      </w:r>
      <w:r w:rsidR="006A4536" w:rsidRPr="006A4536">
        <w:rPr>
          <w:rFonts w:ascii="Arial" w:hAnsi="Arial" w:cs="Arial"/>
          <w:i/>
          <w:sz w:val="23"/>
          <w:szCs w:val="23"/>
        </w:rPr>
        <w:t>in verbis</w:t>
      </w:r>
      <w:r w:rsidR="00A72245">
        <w:rPr>
          <w:rFonts w:ascii="Arial" w:hAnsi="Arial" w:cs="Arial"/>
          <w:sz w:val="23"/>
          <w:szCs w:val="23"/>
        </w:rPr>
        <w:t>:</w:t>
      </w:r>
    </w:p>
    <w:p w:rsidR="00DF0467" w:rsidRDefault="00DF0467" w:rsidP="00DF0467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18. O edital de licitação será elaborado pelo poder concedente, observados, no que couber, os critérios e as normas gerais da legislação própria sobre licitações e contratos e conterá, especialmente:</w:t>
      </w:r>
    </w:p>
    <w:p w:rsidR="00DF0467" w:rsidRDefault="00DF0467" w:rsidP="00DF0467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[...]</w:t>
      </w:r>
    </w:p>
    <w:p w:rsidR="00DF0467" w:rsidRDefault="00DF0467" w:rsidP="00DF0467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– as possíveis fontes de receitas alternativas, complementares ou acessórias, bem como as provenientes de projetos associados;</w:t>
      </w:r>
    </w:p>
    <w:p w:rsidR="00DF0467" w:rsidRDefault="00DF0467" w:rsidP="00DF0467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[...]</w:t>
      </w:r>
    </w:p>
    <w:p w:rsidR="00DF0467" w:rsidRPr="00DF0467" w:rsidRDefault="00DF0467" w:rsidP="005121F2">
      <w:pPr>
        <w:tabs>
          <w:tab w:val="left" w:pos="1418"/>
        </w:tabs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– os critérios de reajuste e revisão da tarifa;</w:t>
      </w:r>
    </w:p>
    <w:p w:rsidR="005B191F" w:rsidRDefault="00736261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855373">
        <w:rPr>
          <w:rFonts w:ascii="Arial" w:hAnsi="Arial" w:cs="Arial"/>
          <w:sz w:val="23"/>
          <w:szCs w:val="23"/>
        </w:rPr>
        <w:t xml:space="preserve">Enquanto o inciso VI insere as fontes alternativas de receita, de modo a complementar a remuneração do contratado sem onerar o usuário, alinhando-se ao princípio da modicidade da tarifa, o inciso VIII garante </w:t>
      </w:r>
      <w:r w:rsidR="00784CB7">
        <w:rPr>
          <w:rFonts w:ascii="Arial" w:hAnsi="Arial" w:cs="Arial"/>
          <w:sz w:val="23"/>
          <w:szCs w:val="23"/>
        </w:rPr>
        <w:t>a</w:t>
      </w:r>
      <w:r w:rsidRPr="00855373">
        <w:rPr>
          <w:rFonts w:ascii="Arial" w:hAnsi="Arial" w:cs="Arial"/>
          <w:sz w:val="23"/>
          <w:szCs w:val="23"/>
        </w:rPr>
        <w:t>o concessionário/permission</w:t>
      </w:r>
      <w:r w:rsidR="003C4233" w:rsidRPr="00855373">
        <w:rPr>
          <w:rFonts w:ascii="Arial" w:hAnsi="Arial" w:cs="Arial"/>
          <w:sz w:val="23"/>
          <w:szCs w:val="23"/>
        </w:rPr>
        <w:t>ário métodos de revisão tarifária durante a vigência da delegação.</w:t>
      </w:r>
    </w:p>
    <w:p w:rsidR="00855373" w:rsidRDefault="00855373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obrigatoriedade de que tais informações sejam veiculadas no edital de licitação não é despicienda.</w:t>
      </w:r>
    </w:p>
    <w:p w:rsidR="00031206" w:rsidRDefault="00031206" w:rsidP="00A30E97">
      <w:pPr>
        <w:numPr>
          <w:ilvl w:val="0"/>
          <w:numId w:val="1"/>
        </w:numPr>
        <w:tabs>
          <w:tab w:val="clear" w:pos="2808"/>
          <w:tab w:val="left" w:pos="1418"/>
          <w:tab w:val="left" w:pos="3969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Por ser a única ou principal fonte de remuneração do contratado</w:t>
      </w:r>
      <w:r w:rsidR="00A30E97">
        <w:rPr>
          <w:rFonts w:ascii="Arial" w:hAnsi="Arial" w:cs="Arial"/>
          <w:sz w:val="23"/>
          <w:szCs w:val="23"/>
        </w:rPr>
        <w:t>, o valor da tarifa</w:t>
      </w:r>
      <w:r w:rsidR="000A269C">
        <w:rPr>
          <w:rFonts w:ascii="Arial" w:hAnsi="Arial" w:cs="Arial"/>
          <w:sz w:val="23"/>
          <w:szCs w:val="23"/>
        </w:rPr>
        <w:t xml:space="preserve"> (</w:t>
      </w:r>
      <w:r w:rsidR="00A30E97">
        <w:rPr>
          <w:rFonts w:ascii="Arial" w:hAnsi="Arial" w:cs="Arial"/>
          <w:sz w:val="23"/>
          <w:szCs w:val="23"/>
        </w:rPr>
        <w:t>e os critérios para sua atualização</w:t>
      </w:r>
      <w:r w:rsidR="000A269C">
        <w:rPr>
          <w:rFonts w:ascii="Arial" w:hAnsi="Arial" w:cs="Arial"/>
          <w:sz w:val="23"/>
          <w:szCs w:val="23"/>
        </w:rPr>
        <w:t xml:space="preserve">) </w:t>
      </w:r>
      <w:r w:rsidR="00A30E97">
        <w:rPr>
          <w:rFonts w:ascii="Arial" w:hAnsi="Arial" w:cs="Arial"/>
          <w:sz w:val="23"/>
          <w:szCs w:val="23"/>
        </w:rPr>
        <w:t>determinarão o interesse, ou a falta dele, na participação da licitação, com inegável reflexo na competitividade.</w:t>
      </w:r>
    </w:p>
    <w:p w:rsidR="00627A18" w:rsidRDefault="00500653" w:rsidP="00A30E97">
      <w:pPr>
        <w:numPr>
          <w:ilvl w:val="0"/>
          <w:numId w:val="1"/>
        </w:numPr>
        <w:tabs>
          <w:tab w:val="clear" w:pos="2808"/>
          <w:tab w:val="left" w:pos="1418"/>
          <w:tab w:val="left" w:pos="3969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Importante destacar, neste ponto, que o valor da tarifa, isoladamente, não constou do citado dispositivo legal</w:t>
      </w:r>
      <w:r w:rsidR="00C15B04">
        <w:rPr>
          <w:rFonts w:ascii="Arial" w:hAnsi="Arial" w:cs="Arial"/>
          <w:sz w:val="23"/>
          <w:szCs w:val="23"/>
        </w:rPr>
        <w:t xml:space="preserve"> como elemento obrigatório do edital</w:t>
      </w:r>
      <w:r>
        <w:rPr>
          <w:rFonts w:ascii="Arial" w:hAnsi="Arial" w:cs="Arial"/>
          <w:sz w:val="23"/>
          <w:szCs w:val="23"/>
        </w:rPr>
        <w:t xml:space="preserve">, mas não porque seja dispensável sua presença, </w:t>
      </w:r>
      <w:r w:rsidR="00C15B04">
        <w:rPr>
          <w:rFonts w:ascii="Arial" w:hAnsi="Arial" w:cs="Arial"/>
          <w:sz w:val="23"/>
          <w:szCs w:val="23"/>
        </w:rPr>
        <w:t>haja vista tratar-se de</w:t>
      </w:r>
      <w:r w:rsidR="00AD6860">
        <w:rPr>
          <w:rFonts w:ascii="Arial" w:hAnsi="Arial" w:cs="Arial"/>
          <w:sz w:val="23"/>
          <w:szCs w:val="23"/>
        </w:rPr>
        <w:t xml:space="preserve"> fator determinante para a opção de participar ou não do certame.</w:t>
      </w:r>
      <w:r w:rsidR="00627A18">
        <w:rPr>
          <w:rFonts w:ascii="Arial" w:hAnsi="Arial" w:cs="Arial"/>
          <w:sz w:val="23"/>
          <w:szCs w:val="23"/>
        </w:rPr>
        <w:t xml:space="preserve"> </w:t>
      </w:r>
    </w:p>
    <w:p w:rsidR="00A30E97" w:rsidRDefault="00C15B04" w:rsidP="00A30E97">
      <w:pPr>
        <w:numPr>
          <w:ilvl w:val="0"/>
          <w:numId w:val="1"/>
        </w:numPr>
        <w:tabs>
          <w:tab w:val="clear" w:pos="2808"/>
          <w:tab w:val="left" w:pos="1418"/>
          <w:tab w:val="left" w:pos="3969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ausência se justifica </w:t>
      </w:r>
      <w:r w:rsidR="00627A18">
        <w:rPr>
          <w:rFonts w:ascii="Arial" w:hAnsi="Arial" w:cs="Arial"/>
          <w:sz w:val="23"/>
          <w:szCs w:val="23"/>
        </w:rPr>
        <w:t>porque, na maior parte das licitações para delegação de serviços públicos, o critério de julgamento é o menor valor da tarifa.</w:t>
      </w:r>
      <w:r w:rsidR="000A269C">
        <w:rPr>
          <w:rFonts w:ascii="Arial" w:hAnsi="Arial" w:cs="Arial"/>
          <w:sz w:val="23"/>
          <w:szCs w:val="23"/>
        </w:rPr>
        <w:t xml:space="preserve"> Dessa forma, </w:t>
      </w:r>
      <w:r w:rsidR="00627A18">
        <w:rPr>
          <w:rFonts w:ascii="Arial" w:hAnsi="Arial" w:cs="Arial"/>
          <w:sz w:val="23"/>
          <w:szCs w:val="23"/>
        </w:rPr>
        <w:t>são os licitantes que oferece</w:t>
      </w:r>
      <w:r w:rsidR="000A269C">
        <w:rPr>
          <w:rFonts w:ascii="Arial" w:hAnsi="Arial" w:cs="Arial"/>
          <w:sz w:val="23"/>
          <w:szCs w:val="23"/>
        </w:rPr>
        <w:t>m</w:t>
      </w:r>
      <w:r w:rsidR="00627A18">
        <w:rPr>
          <w:rFonts w:ascii="Arial" w:hAnsi="Arial" w:cs="Arial"/>
          <w:sz w:val="23"/>
          <w:szCs w:val="23"/>
        </w:rPr>
        <w:t xml:space="preserve"> os valores que se propõem a receber pela prestação do objeto, que será adjudicado a apenas um deles. </w:t>
      </w:r>
    </w:p>
    <w:p w:rsidR="007C5706" w:rsidRDefault="00C15B04" w:rsidP="001D2F30">
      <w:pPr>
        <w:numPr>
          <w:ilvl w:val="0"/>
          <w:numId w:val="1"/>
        </w:numPr>
        <w:tabs>
          <w:tab w:val="clear" w:pos="2808"/>
          <w:tab w:val="left" w:pos="1418"/>
          <w:tab w:val="left" w:pos="3969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C15B04">
        <w:rPr>
          <w:rFonts w:ascii="Arial" w:hAnsi="Arial" w:cs="Arial"/>
          <w:sz w:val="23"/>
          <w:szCs w:val="23"/>
        </w:rPr>
        <w:t>No caso em tela,</w:t>
      </w:r>
      <w:r>
        <w:rPr>
          <w:rFonts w:ascii="Arial" w:hAnsi="Arial" w:cs="Arial"/>
          <w:sz w:val="23"/>
          <w:szCs w:val="23"/>
        </w:rPr>
        <w:t xml:space="preserve"> a delegação </w:t>
      </w:r>
      <w:r w:rsidR="007C5706">
        <w:rPr>
          <w:rFonts w:ascii="Arial" w:hAnsi="Arial" w:cs="Arial"/>
          <w:sz w:val="23"/>
          <w:szCs w:val="23"/>
        </w:rPr>
        <w:t xml:space="preserve">recai sobre </w:t>
      </w:r>
      <w:r>
        <w:rPr>
          <w:rFonts w:ascii="Arial" w:hAnsi="Arial" w:cs="Arial"/>
          <w:sz w:val="23"/>
          <w:szCs w:val="23"/>
        </w:rPr>
        <w:t>o serviço de transporte individual por táxi</w:t>
      </w:r>
      <w:r w:rsidR="007C5706">
        <w:rPr>
          <w:rFonts w:ascii="Arial" w:hAnsi="Arial" w:cs="Arial"/>
          <w:sz w:val="23"/>
          <w:szCs w:val="23"/>
        </w:rPr>
        <w:t>, que será conferido aos cinco primeiros colocados no certame. N</w:t>
      </w:r>
      <w:r w:rsidR="00631812">
        <w:rPr>
          <w:rFonts w:ascii="Arial" w:hAnsi="Arial" w:cs="Arial"/>
          <w:sz w:val="23"/>
          <w:szCs w:val="23"/>
        </w:rPr>
        <w:t>essas situações, à vista da inviabilidade de coexistirem</w:t>
      </w:r>
      <w:r w:rsidR="007C5706">
        <w:rPr>
          <w:rFonts w:ascii="Arial" w:hAnsi="Arial" w:cs="Arial"/>
          <w:sz w:val="23"/>
          <w:szCs w:val="23"/>
        </w:rPr>
        <w:t xml:space="preserve"> diferentes valores de tarifa de táxi dentro da mesma circunscrição</w:t>
      </w:r>
      <w:r w:rsidR="005410F4">
        <w:rPr>
          <w:rFonts w:ascii="Arial" w:hAnsi="Arial" w:cs="Arial"/>
          <w:sz w:val="23"/>
          <w:szCs w:val="23"/>
        </w:rPr>
        <w:t xml:space="preserve"> e consequente </w:t>
      </w:r>
      <w:r w:rsidR="00631812">
        <w:rPr>
          <w:rFonts w:ascii="Arial" w:hAnsi="Arial" w:cs="Arial"/>
          <w:sz w:val="23"/>
          <w:szCs w:val="23"/>
        </w:rPr>
        <w:t xml:space="preserve">inadequação </w:t>
      </w:r>
      <w:r w:rsidR="005410F4">
        <w:rPr>
          <w:rFonts w:ascii="Arial" w:hAnsi="Arial" w:cs="Arial"/>
          <w:sz w:val="23"/>
          <w:szCs w:val="23"/>
        </w:rPr>
        <w:t>de adoção do tipo menor valor da tarifa</w:t>
      </w:r>
      <w:r w:rsidR="007C5706">
        <w:rPr>
          <w:rFonts w:ascii="Arial" w:hAnsi="Arial" w:cs="Arial"/>
          <w:sz w:val="23"/>
          <w:szCs w:val="23"/>
        </w:rPr>
        <w:t>, tem sido frequentemente utilizado o critério de melhor técnica.</w:t>
      </w:r>
    </w:p>
    <w:p w:rsidR="00C15B04" w:rsidRDefault="00CF2F5B" w:rsidP="001D2F30">
      <w:pPr>
        <w:numPr>
          <w:ilvl w:val="0"/>
          <w:numId w:val="1"/>
        </w:numPr>
        <w:tabs>
          <w:tab w:val="clear" w:pos="2808"/>
          <w:tab w:val="left" w:pos="1418"/>
          <w:tab w:val="left" w:pos="3969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Tal critério de julgamento encontra amparo no art. 15, IV, da Lei nº 8.987, de 1995, segundo o qual, “no julgamento da licitação será considerado um dos seguintes critérios: [...] IV – melhor proposta técnica, </w:t>
      </w:r>
      <w:r w:rsidRPr="00CF2F5B">
        <w:rPr>
          <w:rFonts w:ascii="Arial" w:hAnsi="Arial" w:cs="Arial"/>
          <w:i/>
          <w:sz w:val="23"/>
          <w:szCs w:val="23"/>
        </w:rPr>
        <w:t>com preço fixado no edital</w:t>
      </w:r>
      <w:r>
        <w:rPr>
          <w:rFonts w:ascii="Arial" w:hAnsi="Arial" w:cs="Arial"/>
          <w:sz w:val="23"/>
          <w:szCs w:val="23"/>
        </w:rPr>
        <w:t>”</w:t>
      </w:r>
      <w:r w:rsidR="00383846">
        <w:rPr>
          <w:rFonts w:ascii="Arial" w:hAnsi="Arial" w:cs="Arial"/>
          <w:sz w:val="23"/>
          <w:szCs w:val="23"/>
        </w:rPr>
        <w:t xml:space="preserve"> (grifo aditado).</w:t>
      </w:r>
    </w:p>
    <w:p w:rsidR="00C20B8D" w:rsidRDefault="00C20B8D" w:rsidP="001D2F30">
      <w:pPr>
        <w:numPr>
          <w:ilvl w:val="0"/>
          <w:numId w:val="1"/>
        </w:numPr>
        <w:tabs>
          <w:tab w:val="clear" w:pos="2808"/>
          <w:tab w:val="left" w:pos="1418"/>
          <w:tab w:val="left" w:pos="3969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O texto legal vem confirmar a imprescindibilidade de indicação da tarifa no corpo do instrumento convocatório, sem a qual não é possível aos interessados avaliar as vantagens de assumir o objeto licitado.</w:t>
      </w:r>
    </w:p>
    <w:p w:rsidR="008B11F5" w:rsidRDefault="00B72C1E" w:rsidP="001D2F30">
      <w:pPr>
        <w:numPr>
          <w:ilvl w:val="0"/>
          <w:numId w:val="1"/>
        </w:numPr>
        <w:tabs>
          <w:tab w:val="clear" w:pos="2808"/>
          <w:tab w:val="left" w:pos="1418"/>
          <w:tab w:val="left" w:pos="3969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despeito do raciocínio ora desenvolvido, o edital em </w:t>
      </w:r>
      <w:r w:rsidR="00FA5469">
        <w:rPr>
          <w:rFonts w:ascii="Arial" w:hAnsi="Arial" w:cs="Arial"/>
          <w:sz w:val="23"/>
          <w:szCs w:val="23"/>
        </w:rPr>
        <w:t>análise</w:t>
      </w:r>
      <w:r>
        <w:rPr>
          <w:rFonts w:ascii="Arial" w:hAnsi="Arial" w:cs="Arial"/>
          <w:sz w:val="23"/>
          <w:szCs w:val="23"/>
        </w:rPr>
        <w:t>, conforme assentado alhures, restringiu-se a remeter a fixação da contraprestação a ato da muni</w:t>
      </w:r>
      <w:r w:rsidR="00631812">
        <w:rPr>
          <w:rFonts w:ascii="Arial" w:hAnsi="Arial" w:cs="Arial"/>
          <w:sz w:val="23"/>
          <w:szCs w:val="23"/>
        </w:rPr>
        <w:t>cipalidade, sem indicar valores e</w:t>
      </w:r>
      <w:r>
        <w:rPr>
          <w:rFonts w:ascii="Arial" w:hAnsi="Arial" w:cs="Arial"/>
          <w:sz w:val="23"/>
          <w:szCs w:val="23"/>
        </w:rPr>
        <w:t xml:space="preserve"> critérios para sua definição e revisão.</w:t>
      </w:r>
    </w:p>
    <w:p w:rsidR="009B4942" w:rsidRDefault="00B72C1E" w:rsidP="001D2F30">
      <w:pPr>
        <w:numPr>
          <w:ilvl w:val="0"/>
          <w:numId w:val="1"/>
        </w:numPr>
        <w:tabs>
          <w:tab w:val="clear" w:pos="2808"/>
          <w:tab w:val="left" w:pos="1418"/>
          <w:tab w:val="left" w:pos="3969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Além de contrariar disposições expressas da Lei, quais sejam</w:t>
      </w:r>
      <w:r w:rsidR="00A85CC6"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 xml:space="preserve"> os artigos 15, IV, e 18, VIII, da Lei de Concessões, </w:t>
      </w:r>
      <w:r w:rsidR="009B4942">
        <w:rPr>
          <w:rFonts w:ascii="Arial" w:hAnsi="Arial" w:cs="Arial"/>
          <w:sz w:val="23"/>
          <w:szCs w:val="23"/>
        </w:rPr>
        <w:t>a obscuridade afeta também a competitividade, posto que poucos são os que se aventurariam em uma disputa</w:t>
      </w:r>
      <w:r w:rsidR="00123F92">
        <w:rPr>
          <w:rFonts w:ascii="Arial" w:hAnsi="Arial" w:cs="Arial"/>
          <w:sz w:val="23"/>
          <w:szCs w:val="23"/>
        </w:rPr>
        <w:t>, vinculando sua proposta, sem ter sequer ideia da contraprestação</w:t>
      </w:r>
      <w:r w:rsidR="00631812">
        <w:rPr>
          <w:rFonts w:ascii="Arial" w:hAnsi="Arial" w:cs="Arial"/>
          <w:sz w:val="23"/>
          <w:szCs w:val="23"/>
        </w:rPr>
        <w:t xml:space="preserve"> a ser recebida</w:t>
      </w:r>
      <w:r w:rsidR="00123F92">
        <w:rPr>
          <w:rFonts w:ascii="Arial" w:hAnsi="Arial" w:cs="Arial"/>
          <w:sz w:val="23"/>
          <w:szCs w:val="23"/>
        </w:rPr>
        <w:t>.</w:t>
      </w:r>
    </w:p>
    <w:p w:rsidR="00C15B04" w:rsidRDefault="005C26C3" w:rsidP="001D2F30">
      <w:pPr>
        <w:numPr>
          <w:ilvl w:val="0"/>
          <w:numId w:val="1"/>
        </w:numPr>
        <w:tabs>
          <w:tab w:val="clear" w:pos="2808"/>
          <w:tab w:val="left" w:pos="1418"/>
          <w:tab w:val="left" w:pos="3969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Ao se considerar o prazo de vigência de oito anos, prorrogável por mais dois anos, releva-se </w:t>
      </w:r>
      <w:r w:rsidR="00FA5469">
        <w:rPr>
          <w:rFonts w:ascii="Arial" w:hAnsi="Arial" w:cs="Arial"/>
          <w:sz w:val="23"/>
          <w:szCs w:val="23"/>
        </w:rPr>
        <w:t xml:space="preserve">também </w:t>
      </w:r>
      <w:r>
        <w:rPr>
          <w:rFonts w:ascii="Arial" w:hAnsi="Arial" w:cs="Arial"/>
          <w:sz w:val="23"/>
          <w:szCs w:val="23"/>
        </w:rPr>
        <w:t>a importância da prévia fixação dos parâmetros para revisão e reajuste dos valores, conferindo segurança à contratação.</w:t>
      </w:r>
    </w:p>
    <w:p w:rsidR="005C26C3" w:rsidRDefault="005C26C3" w:rsidP="00FB715F">
      <w:pPr>
        <w:numPr>
          <w:ilvl w:val="0"/>
          <w:numId w:val="1"/>
        </w:numPr>
        <w:tabs>
          <w:tab w:val="clear" w:pos="2808"/>
          <w:tab w:val="left" w:pos="1418"/>
          <w:tab w:val="left" w:pos="3969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Com efeito, </w:t>
      </w:r>
      <w:r w:rsidR="00FB715F">
        <w:rPr>
          <w:rFonts w:ascii="Arial" w:hAnsi="Arial" w:cs="Arial"/>
          <w:sz w:val="23"/>
          <w:szCs w:val="23"/>
        </w:rPr>
        <w:t>em face dessas ponderações, entendemos que o texto do item 3.1 e da Cláusula Décima Terceira do Anexo II</w:t>
      </w:r>
      <w:r w:rsidR="00FB715F" w:rsidRPr="00FB715F">
        <w:rPr>
          <w:rFonts w:ascii="Arial" w:hAnsi="Arial" w:cs="Arial"/>
          <w:sz w:val="23"/>
          <w:szCs w:val="23"/>
        </w:rPr>
        <w:t xml:space="preserve"> </w:t>
      </w:r>
      <w:r w:rsidR="00FB715F">
        <w:rPr>
          <w:rFonts w:ascii="Arial" w:hAnsi="Arial" w:cs="Arial"/>
          <w:sz w:val="23"/>
          <w:szCs w:val="23"/>
        </w:rPr>
        <w:t>inviabiliza a formulação das propostas, restringe a concorrência e afronta a legislação aplicável ao tema, motivo pelo qual devem ser alterados, de modo a indicar o valor da tarifa e os critérios para seu reajuste e revisão.</w:t>
      </w:r>
    </w:p>
    <w:p w:rsidR="00382051" w:rsidRPr="004D4CC6" w:rsidRDefault="004D4CC6" w:rsidP="00382051">
      <w:pPr>
        <w:tabs>
          <w:tab w:val="left" w:pos="1418"/>
          <w:tab w:val="left" w:pos="3969"/>
        </w:tabs>
        <w:spacing w:after="200" w:line="36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Das condições de habilitação</w:t>
      </w:r>
    </w:p>
    <w:p w:rsidR="005B191F" w:rsidRDefault="00F0198C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item 8.1 do edital </w:t>
      </w:r>
      <w:r w:rsidR="001F0E2F">
        <w:rPr>
          <w:rFonts w:ascii="Arial" w:hAnsi="Arial" w:cs="Arial"/>
          <w:sz w:val="23"/>
          <w:szCs w:val="23"/>
        </w:rPr>
        <w:t>fixa as condições de habilitação para o presente certame, em rol com várias alíneas.</w:t>
      </w:r>
    </w:p>
    <w:p w:rsidR="001F0E2F" w:rsidRPr="00B13AE9" w:rsidRDefault="001F0E2F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B13AE9">
        <w:rPr>
          <w:rFonts w:ascii="Arial" w:hAnsi="Arial" w:cs="Arial"/>
          <w:sz w:val="23"/>
          <w:szCs w:val="23"/>
        </w:rPr>
        <w:t>A habilitação é tratada n</w:t>
      </w:r>
      <w:r w:rsidR="00C34F3A" w:rsidRPr="00B13AE9">
        <w:rPr>
          <w:rFonts w:ascii="Arial" w:hAnsi="Arial" w:cs="Arial"/>
          <w:sz w:val="23"/>
          <w:szCs w:val="23"/>
        </w:rPr>
        <w:t>o art. 27 e seguintes d</w:t>
      </w:r>
      <w:r w:rsidRPr="00B13AE9">
        <w:rPr>
          <w:rFonts w:ascii="Arial" w:hAnsi="Arial" w:cs="Arial"/>
          <w:sz w:val="23"/>
          <w:szCs w:val="23"/>
        </w:rPr>
        <w:t xml:space="preserve">a Lei nº 8.666, de 1993, </w:t>
      </w:r>
      <w:r w:rsidR="00C34F3A" w:rsidRPr="00B13AE9">
        <w:rPr>
          <w:rFonts w:ascii="Arial" w:hAnsi="Arial" w:cs="Arial"/>
          <w:sz w:val="23"/>
          <w:szCs w:val="23"/>
        </w:rPr>
        <w:t xml:space="preserve">nos quais </w:t>
      </w:r>
      <w:r w:rsidR="00285A3B" w:rsidRPr="00B13AE9">
        <w:rPr>
          <w:rFonts w:ascii="Arial" w:hAnsi="Arial" w:cs="Arial"/>
          <w:sz w:val="23"/>
          <w:szCs w:val="23"/>
        </w:rPr>
        <w:t xml:space="preserve">é adotada redação que </w:t>
      </w:r>
      <w:r w:rsidR="00B13AE9">
        <w:rPr>
          <w:rFonts w:ascii="Arial" w:hAnsi="Arial" w:cs="Arial"/>
          <w:sz w:val="23"/>
          <w:szCs w:val="23"/>
        </w:rPr>
        <w:t>indica</w:t>
      </w:r>
      <w:r w:rsidR="00285A3B" w:rsidRPr="00B13AE9">
        <w:rPr>
          <w:rFonts w:ascii="Arial" w:hAnsi="Arial" w:cs="Arial"/>
          <w:sz w:val="23"/>
          <w:szCs w:val="23"/>
        </w:rPr>
        <w:t xml:space="preserve"> a taxatividade do elenco descrito. Em face de expressões como “exclusivamente” e “limitar-se-á”</w:t>
      </w:r>
      <w:r w:rsidR="009D075E" w:rsidRPr="00B13AE9">
        <w:rPr>
          <w:rFonts w:ascii="Arial" w:hAnsi="Arial" w:cs="Arial"/>
          <w:sz w:val="23"/>
          <w:szCs w:val="23"/>
        </w:rPr>
        <w:t>, utilizadas no texto legal</w:t>
      </w:r>
      <w:r w:rsidR="00285A3B" w:rsidRPr="00B13AE9">
        <w:rPr>
          <w:rFonts w:ascii="Arial" w:hAnsi="Arial" w:cs="Arial"/>
          <w:sz w:val="23"/>
          <w:szCs w:val="23"/>
        </w:rPr>
        <w:t xml:space="preserve">, a doutrina e a jurisprudência tem se manifestado, de forma uníssona, </w:t>
      </w:r>
      <w:r w:rsidR="00E36741" w:rsidRPr="00B13AE9">
        <w:rPr>
          <w:rFonts w:ascii="Arial" w:hAnsi="Arial" w:cs="Arial"/>
          <w:sz w:val="23"/>
          <w:szCs w:val="23"/>
        </w:rPr>
        <w:t xml:space="preserve">no sentido de </w:t>
      </w:r>
      <w:r w:rsidR="00285A3B" w:rsidRPr="00B13AE9">
        <w:rPr>
          <w:rFonts w:ascii="Arial" w:hAnsi="Arial" w:cs="Arial"/>
          <w:sz w:val="23"/>
          <w:szCs w:val="23"/>
        </w:rPr>
        <w:t xml:space="preserve">que não compete ao administrador alargar as condições de habilitação descritas na lei, </w:t>
      </w:r>
      <w:r w:rsidR="00E36741" w:rsidRPr="00B13AE9">
        <w:rPr>
          <w:rFonts w:ascii="Arial" w:hAnsi="Arial" w:cs="Arial"/>
          <w:sz w:val="23"/>
          <w:szCs w:val="23"/>
        </w:rPr>
        <w:t xml:space="preserve">por </w:t>
      </w:r>
      <w:r w:rsidR="00285A3B" w:rsidRPr="00B13AE9">
        <w:rPr>
          <w:rFonts w:ascii="Arial" w:hAnsi="Arial" w:cs="Arial"/>
          <w:sz w:val="23"/>
          <w:szCs w:val="23"/>
        </w:rPr>
        <w:t xml:space="preserve">se tratar de rol </w:t>
      </w:r>
      <w:r w:rsidR="00285A3B" w:rsidRPr="00B13AE9">
        <w:rPr>
          <w:rFonts w:ascii="Arial" w:hAnsi="Arial" w:cs="Arial"/>
          <w:i/>
          <w:sz w:val="23"/>
          <w:szCs w:val="23"/>
        </w:rPr>
        <w:t>numerus clausus</w:t>
      </w:r>
      <w:r w:rsidR="00285A3B" w:rsidRPr="00B13AE9">
        <w:rPr>
          <w:rFonts w:ascii="Arial" w:hAnsi="Arial" w:cs="Arial"/>
          <w:sz w:val="23"/>
          <w:szCs w:val="23"/>
        </w:rPr>
        <w:t>.</w:t>
      </w:r>
    </w:p>
    <w:p w:rsidR="00675871" w:rsidRDefault="00E36741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É o entendimento também professado pelo</w:t>
      </w:r>
      <w:r w:rsidR="00675871">
        <w:rPr>
          <w:rFonts w:ascii="Arial" w:hAnsi="Arial" w:cs="Arial"/>
          <w:sz w:val="23"/>
          <w:szCs w:val="23"/>
        </w:rPr>
        <w:t xml:space="preserve"> T</w:t>
      </w:r>
      <w:r w:rsidR="00735D3F">
        <w:rPr>
          <w:rFonts w:ascii="Arial" w:hAnsi="Arial" w:cs="Arial"/>
          <w:sz w:val="23"/>
          <w:szCs w:val="23"/>
        </w:rPr>
        <w:t xml:space="preserve">ribunal de </w:t>
      </w:r>
      <w:r w:rsidR="00675871">
        <w:rPr>
          <w:rFonts w:ascii="Arial" w:hAnsi="Arial" w:cs="Arial"/>
          <w:sz w:val="23"/>
          <w:szCs w:val="23"/>
        </w:rPr>
        <w:t>C</w:t>
      </w:r>
      <w:r w:rsidR="00735D3F">
        <w:rPr>
          <w:rFonts w:ascii="Arial" w:hAnsi="Arial" w:cs="Arial"/>
          <w:sz w:val="23"/>
          <w:szCs w:val="23"/>
        </w:rPr>
        <w:t xml:space="preserve">ontas da </w:t>
      </w:r>
      <w:r w:rsidR="00675871">
        <w:rPr>
          <w:rFonts w:ascii="Arial" w:hAnsi="Arial" w:cs="Arial"/>
          <w:sz w:val="23"/>
          <w:szCs w:val="23"/>
        </w:rPr>
        <w:t>U</w:t>
      </w:r>
      <w:r w:rsidR="00735D3F">
        <w:rPr>
          <w:rFonts w:ascii="Arial" w:hAnsi="Arial" w:cs="Arial"/>
          <w:sz w:val="23"/>
          <w:szCs w:val="23"/>
        </w:rPr>
        <w:t>nião</w:t>
      </w:r>
      <w:r w:rsidR="00675871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 xml:space="preserve">consoante se denota </w:t>
      </w:r>
      <w:r w:rsidR="006E581F">
        <w:rPr>
          <w:rFonts w:ascii="Arial" w:hAnsi="Arial" w:cs="Arial"/>
          <w:sz w:val="23"/>
          <w:szCs w:val="23"/>
        </w:rPr>
        <w:t>de sua</w:t>
      </w:r>
      <w:r w:rsidR="007560EA">
        <w:rPr>
          <w:rFonts w:ascii="Arial" w:hAnsi="Arial" w:cs="Arial"/>
          <w:sz w:val="23"/>
          <w:szCs w:val="23"/>
        </w:rPr>
        <w:t>s decisões</w:t>
      </w:r>
      <w:r w:rsidR="006E581F">
        <w:rPr>
          <w:rFonts w:ascii="Arial" w:hAnsi="Arial" w:cs="Arial"/>
          <w:sz w:val="23"/>
          <w:szCs w:val="23"/>
        </w:rPr>
        <w:t>, aqui transcrita</w:t>
      </w:r>
      <w:r w:rsidR="007560EA">
        <w:rPr>
          <w:rFonts w:ascii="Arial" w:hAnsi="Arial" w:cs="Arial"/>
          <w:sz w:val="23"/>
          <w:szCs w:val="23"/>
        </w:rPr>
        <w:t>s</w:t>
      </w:r>
      <w:r w:rsidR="00675871">
        <w:rPr>
          <w:rFonts w:ascii="Arial" w:hAnsi="Arial" w:cs="Arial"/>
          <w:sz w:val="23"/>
          <w:szCs w:val="23"/>
        </w:rPr>
        <w:t>:</w:t>
      </w:r>
    </w:p>
    <w:p w:rsidR="007560EA" w:rsidRDefault="007560EA" w:rsidP="007560EA">
      <w:pPr>
        <w:tabs>
          <w:tab w:val="left" w:pos="1418"/>
        </w:tabs>
        <w:ind w:left="226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Pr="007560EA">
        <w:rPr>
          <w:rFonts w:ascii="Arial" w:hAnsi="Arial" w:cs="Arial"/>
          <w:bCs/>
          <w:sz w:val="20"/>
          <w:szCs w:val="20"/>
        </w:rPr>
        <w:t>Representação. Licitação. Concorrência para implantação de sistema de esgotamento sanitário. Exigência, para habilitação, de documentos não especificados no Estatuto Licitatório. A Lei Geral de Licitações e Contratos enumera, em rol exaustivo, os documentos que poderão ser exigidos na etapa de habilitaç</w:t>
      </w:r>
      <w:r>
        <w:rPr>
          <w:rFonts w:ascii="Arial" w:hAnsi="Arial" w:cs="Arial"/>
          <w:bCs/>
          <w:sz w:val="20"/>
          <w:szCs w:val="20"/>
        </w:rPr>
        <w:t>ão. Procedência parcial. Multa.</w:t>
      </w:r>
    </w:p>
    <w:p w:rsidR="007560EA" w:rsidRDefault="007560EA" w:rsidP="007560EA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7560EA">
        <w:rPr>
          <w:rFonts w:ascii="Arial" w:hAnsi="Arial" w:cs="Arial"/>
          <w:sz w:val="20"/>
          <w:szCs w:val="20"/>
        </w:rPr>
        <w:t>[RELATÓRIO]</w:t>
      </w:r>
      <w:r w:rsidRPr="007560EA">
        <w:rPr>
          <w:rFonts w:ascii="Arial" w:hAnsi="Arial" w:cs="Arial"/>
          <w:sz w:val="20"/>
          <w:szCs w:val="20"/>
        </w:rPr>
        <w:br/>
        <w:t>22. O rol de documentos trazidos pela Lei 8.666/1993 nos artigos 27 a 31 é de natureza exaustiva, ou seja, não se admite, para fins de habilitação de licitante, a exigência de documento não relacionado nesses artigos. Nesse sentido é a jurisprudência deste Tribunal, a exemplo do Acórdão 2.056/2008-Plenário.</w:t>
      </w:r>
    </w:p>
    <w:p w:rsidR="007560EA" w:rsidRDefault="007560EA" w:rsidP="007560EA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7560EA">
        <w:rPr>
          <w:rFonts w:ascii="Arial" w:hAnsi="Arial" w:cs="Arial"/>
          <w:sz w:val="20"/>
          <w:szCs w:val="20"/>
        </w:rPr>
        <w:t>[VOTO]</w:t>
      </w:r>
      <w:r w:rsidRPr="007560EA">
        <w:rPr>
          <w:rFonts w:ascii="Arial" w:hAnsi="Arial" w:cs="Arial"/>
          <w:sz w:val="20"/>
          <w:szCs w:val="20"/>
        </w:rPr>
        <w:br/>
        <w:t>b) exigência, para habilitação, de documentos não especificados no Estatuto Licitatório [...], em afronta aos arts. 27 a 31 da Lei 8.666/1993;</w:t>
      </w:r>
    </w:p>
    <w:p w:rsidR="007560EA" w:rsidRDefault="007560EA" w:rsidP="007560EA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7560EA">
        <w:rPr>
          <w:rFonts w:ascii="Arial" w:hAnsi="Arial" w:cs="Arial"/>
          <w:sz w:val="20"/>
          <w:szCs w:val="20"/>
        </w:rPr>
        <w:t>[...]</w:t>
      </w:r>
      <w:r w:rsidRPr="007560EA">
        <w:rPr>
          <w:rFonts w:ascii="Arial" w:hAnsi="Arial" w:cs="Arial"/>
          <w:sz w:val="20"/>
          <w:szCs w:val="20"/>
        </w:rPr>
        <w:br/>
        <w:t xml:space="preserve">11. O processo de licitação pública, nos termos do inciso XXI do art. 37 da Constituição Federal de 1988, somente permite as exigências de qualificação técnica e econômica indispensáveis à garantia do cumprimento das obrigações. Por sua vez, </w:t>
      </w:r>
      <w:r w:rsidRPr="00E20BF8">
        <w:rPr>
          <w:rFonts w:ascii="Arial" w:hAnsi="Arial" w:cs="Arial"/>
          <w:sz w:val="20"/>
          <w:szCs w:val="20"/>
          <w:u w:val="single"/>
        </w:rPr>
        <w:t>os arts. 27 a 31 da Lei Geral de Licitações e Contratos enumeram, em rol exaustivo, os documentos que poderão ser exigidos na etapa de habilitação das candidatas à contratação. Nesse sentido, exigências editalícias que ultrapassem o limite definido pela Lei 8.666/1993 ofendem ao princípio da ampla concorrência e podem restringir, indevidamente, o universo de concorrentes</w:t>
      </w:r>
      <w:r w:rsidRPr="007560EA">
        <w:rPr>
          <w:rFonts w:ascii="Arial" w:hAnsi="Arial" w:cs="Arial"/>
          <w:sz w:val="20"/>
          <w:szCs w:val="20"/>
        </w:rPr>
        <w:t>.</w:t>
      </w:r>
    </w:p>
    <w:p w:rsidR="007560EA" w:rsidRDefault="007560EA" w:rsidP="007560EA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7560EA">
        <w:rPr>
          <w:rFonts w:ascii="Arial" w:hAnsi="Arial" w:cs="Arial"/>
          <w:sz w:val="20"/>
          <w:szCs w:val="20"/>
        </w:rPr>
        <w:t>[...]</w:t>
      </w:r>
      <w:r w:rsidRPr="007560EA">
        <w:rPr>
          <w:rFonts w:ascii="Arial" w:hAnsi="Arial" w:cs="Arial"/>
          <w:sz w:val="20"/>
          <w:szCs w:val="20"/>
        </w:rPr>
        <w:br/>
        <w:t xml:space="preserve">32. De todo o exposto, concluo que o edital da concorrência [omissis], de fato, apresentou diversas cláusulas em desacordo como a Lei de Licitações e Contratos e com a jurisprudência deste Tribunal, situação que, aliada à materialidade do ajuste [...] justifica a aplicação aos gestores da multa </w:t>
      </w:r>
      <w:r>
        <w:rPr>
          <w:rFonts w:ascii="Arial" w:hAnsi="Arial" w:cs="Arial"/>
          <w:sz w:val="20"/>
          <w:szCs w:val="20"/>
        </w:rPr>
        <w:t>s</w:t>
      </w:r>
      <w:r w:rsidRPr="007560EA">
        <w:rPr>
          <w:rFonts w:ascii="Arial" w:hAnsi="Arial" w:cs="Arial"/>
          <w:sz w:val="20"/>
          <w:szCs w:val="20"/>
        </w:rPr>
        <w:t>ugerida.</w:t>
      </w:r>
      <w:r w:rsidRPr="007560EA">
        <w:rPr>
          <w:rFonts w:ascii="Arial" w:hAnsi="Arial" w:cs="Arial"/>
          <w:sz w:val="20"/>
          <w:szCs w:val="20"/>
        </w:rPr>
        <w:br/>
        <w:t>[ACÓRDÃO]</w:t>
      </w:r>
    </w:p>
    <w:p w:rsidR="007560EA" w:rsidRDefault="007560EA" w:rsidP="007560EA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7560EA">
        <w:rPr>
          <w:rFonts w:ascii="Arial" w:hAnsi="Arial" w:cs="Arial"/>
          <w:sz w:val="20"/>
          <w:szCs w:val="20"/>
        </w:rPr>
        <w:t>9.1. conhecer da representação e considerá-la parcialmente procedente;</w:t>
      </w:r>
    </w:p>
    <w:p w:rsidR="007560EA" w:rsidRPr="007560EA" w:rsidRDefault="007560EA" w:rsidP="007560EA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7560EA">
        <w:rPr>
          <w:rFonts w:ascii="Arial" w:hAnsi="Arial" w:cs="Arial"/>
          <w:sz w:val="20"/>
          <w:szCs w:val="20"/>
        </w:rPr>
        <w:t>[...]</w:t>
      </w:r>
      <w:r w:rsidRPr="007560EA">
        <w:rPr>
          <w:rFonts w:ascii="Arial" w:hAnsi="Arial" w:cs="Arial"/>
          <w:sz w:val="20"/>
          <w:szCs w:val="20"/>
        </w:rPr>
        <w:br/>
        <w:t>9.3. aplicar a [responsável 1] e a [responsável 2] multa individual [...];</w:t>
      </w:r>
      <w:r>
        <w:rPr>
          <w:rFonts w:ascii="Arial" w:hAnsi="Arial" w:cs="Arial"/>
          <w:sz w:val="20"/>
          <w:szCs w:val="20"/>
        </w:rPr>
        <w:t>”</w:t>
      </w:r>
      <w:r w:rsidR="00E20BF8">
        <w:rPr>
          <w:rStyle w:val="Refdenotaderodap"/>
          <w:rFonts w:ascii="Arial" w:hAnsi="Arial" w:cs="Arial"/>
          <w:sz w:val="20"/>
          <w:szCs w:val="20"/>
        </w:rPr>
        <w:footnoteReference w:id="1"/>
      </w:r>
    </w:p>
    <w:p w:rsidR="007560EA" w:rsidRDefault="007560EA" w:rsidP="00086CA9">
      <w:pPr>
        <w:tabs>
          <w:tab w:val="left" w:pos="1418"/>
        </w:tabs>
        <w:spacing w:after="200"/>
        <w:ind w:left="2268"/>
        <w:jc w:val="both"/>
        <w:rPr>
          <w:rFonts w:ascii="Arial" w:hAnsi="Arial" w:cs="Arial"/>
          <w:sz w:val="20"/>
          <w:szCs w:val="20"/>
        </w:rPr>
      </w:pPr>
    </w:p>
    <w:p w:rsidR="00AC4281" w:rsidRDefault="00E20BF8" w:rsidP="00086CA9">
      <w:pPr>
        <w:tabs>
          <w:tab w:val="left" w:pos="1418"/>
        </w:tabs>
        <w:spacing w:after="200"/>
        <w:ind w:left="226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0"/>
          <w:szCs w:val="20"/>
        </w:rPr>
        <w:t>“</w:t>
      </w:r>
      <w:r w:rsidR="00086CA9" w:rsidRPr="00086CA9">
        <w:rPr>
          <w:rFonts w:ascii="Arial" w:hAnsi="Arial" w:cs="Arial"/>
          <w:sz w:val="20"/>
          <w:szCs w:val="20"/>
        </w:rPr>
        <w:t>32. A jurisprudência deste Tribunal tem sido firme quanto à ilegalidade da exigência de apresentação de certificação de qualidade como requisito de habilitação em procedimentos licitatórios, aceitando apenas a possibilidade da sua previsão no edital como critério de pontuação técnica. O artigo 27 da Lei n. 8.666/1993 estabelece que, para a habilitação, é permitido exigir dos interessados, exclusivamente, documentação relativa à habilitação jurídica, qualificações técnica, fiscal e econômico-financeira, além da regularidade fiscal, em cumprimento ao disposto no inciso XXXIII do artigo 7º da Constituição Federal.</w:t>
      </w:r>
      <w:r>
        <w:rPr>
          <w:rFonts w:ascii="Arial" w:hAnsi="Arial" w:cs="Arial"/>
          <w:sz w:val="20"/>
          <w:szCs w:val="20"/>
        </w:rPr>
        <w:t>”</w:t>
      </w:r>
      <w:r w:rsidR="00086CA9"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142062" w:rsidRPr="00282B49" w:rsidRDefault="00282B49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282B49">
        <w:rPr>
          <w:rFonts w:ascii="Arial" w:hAnsi="Arial" w:cs="Arial"/>
          <w:sz w:val="23"/>
          <w:szCs w:val="23"/>
        </w:rPr>
        <w:lastRenderedPageBreak/>
        <w:t>Cotejando as exigências veiculadas no edital em comento com as disposições do art. 27 e seguintes, nota-se q</w:t>
      </w:r>
      <w:r w:rsidR="001B1A4E" w:rsidRPr="00282B49">
        <w:rPr>
          <w:rFonts w:ascii="Arial" w:hAnsi="Arial" w:cs="Arial"/>
          <w:sz w:val="23"/>
          <w:szCs w:val="23"/>
        </w:rPr>
        <w:t>ue não se encontram no rol legal as e</w:t>
      </w:r>
      <w:r w:rsidR="00AC4281" w:rsidRPr="00282B49">
        <w:rPr>
          <w:rFonts w:ascii="Arial" w:hAnsi="Arial" w:cs="Arial"/>
          <w:sz w:val="23"/>
          <w:szCs w:val="23"/>
        </w:rPr>
        <w:t>x</w:t>
      </w:r>
      <w:r w:rsidR="00142062" w:rsidRPr="00282B49">
        <w:rPr>
          <w:rFonts w:ascii="Arial" w:hAnsi="Arial" w:cs="Arial"/>
          <w:sz w:val="23"/>
          <w:szCs w:val="23"/>
        </w:rPr>
        <w:t xml:space="preserve">igências como certificado eleitoral com comprovantes de votação (alínea </w:t>
      </w:r>
      <w:r w:rsidR="00142062" w:rsidRPr="00282B49">
        <w:rPr>
          <w:rFonts w:ascii="Arial" w:hAnsi="Arial" w:cs="Arial"/>
          <w:i/>
          <w:sz w:val="23"/>
          <w:szCs w:val="23"/>
        </w:rPr>
        <w:t>b</w:t>
      </w:r>
      <w:r w:rsidR="00142062" w:rsidRPr="00282B49">
        <w:rPr>
          <w:rFonts w:ascii="Arial" w:hAnsi="Arial" w:cs="Arial"/>
          <w:sz w:val="23"/>
          <w:szCs w:val="23"/>
        </w:rPr>
        <w:t>); certificado de reservista para propone</w:t>
      </w:r>
      <w:r w:rsidR="00142062" w:rsidRPr="00A85CC6">
        <w:rPr>
          <w:rFonts w:ascii="Arial" w:hAnsi="Arial" w:cs="Arial"/>
          <w:sz w:val="23"/>
          <w:szCs w:val="23"/>
        </w:rPr>
        <w:t xml:space="preserve">ntes do sexo masculino (alínea </w:t>
      </w:r>
      <w:r w:rsidR="00142062" w:rsidRPr="00A85CC6">
        <w:rPr>
          <w:rFonts w:ascii="Arial" w:hAnsi="Arial" w:cs="Arial"/>
          <w:i/>
          <w:sz w:val="23"/>
          <w:szCs w:val="23"/>
        </w:rPr>
        <w:t>d</w:t>
      </w:r>
      <w:r w:rsidR="00142062" w:rsidRPr="00A85CC6">
        <w:rPr>
          <w:rFonts w:ascii="Arial" w:hAnsi="Arial" w:cs="Arial"/>
          <w:sz w:val="23"/>
          <w:szCs w:val="23"/>
        </w:rPr>
        <w:t xml:space="preserve">); atestado médico de aptidão (alínea </w:t>
      </w:r>
      <w:r w:rsidR="00142062" w:rsidRPr="00A85CC6">
        <w:rPr>
          <w:rFonts w:ascii="Arial" w:hAnsi="Arial" w:cs="Arial"/>
          <w:i/>
          <w:sz w:val="23"/>
          <w:szCs w:val="23"/>
        </w:rPr>
        <w:t>e</w:t>
      </w:r>
      <w:r w:rsidR="000262FB" w:rsidRPr="00A85CC6">
        <w:rPr>
          <w:rFonts w:ascii="Arial" w:hAnsi="Arial" w:cs="Arial"/>
          <w:i/>
          <w:sz w:val="23"/>
          <w:szCs w:val="23"/>
        </w:rPr>
        <w:t xml:space="preserve"> </w:t>
      </w:r>
      <w:r w:rsidR="000262FB" w:rsidRPr="00A85CC6">
        <w:rPr>
          <w:rFonts w:ascii="Arial" w:hAnsi="Arial" w:cs="Arial"/>
          <w:sz w:val="23"/>
          <w:szCs w:val="23"/>
        </w:rPr>
        <w:t>e</w:t>
      </w:r>
      <w:r w:rsidR="000262FB" w:rsidRPr="00A85CC6">
        <w:rPr>
          <w:rFonts w:ascii="Arial" w:hAnsi="Arial" w:cs="Arial"/>
          <w:i/>
          <w:sz w:val="23"/>
          <w:szCs w:val="23"/>
        </w:rPr>
        <w:t xml:space="preserve"> f.7</w:t>
      </w:r>
      <w:r w:rsidR="00142062" w:rsidRPr="00A85CC6">
        <w:rPr>
          <w:rFonts w:ascii="Arial" w:hAnsi="Arial" w:cs="Arial"/>
          <w:sz w:val="23"/>
          <w:szCs w:val="23"/>
        </w:rPr>
        <w:t xml:space="preserve">); comprovante de endereço atualizado (alínea </w:t>
      </w:r>
      <w:r w:rsidR="00142062" w:rsidRPr="00A85CC6">
        <w:rPr>
          <w:rFonts w:ascii="Arial" w:hAnsi="Arial" w:cs="Arial"/>
          <w:i/>
          <w:sz w:val="23"/>
          <w:szCs w:val="23"/>
        </w:rPr>
        <w:t>g</w:t>
      </w:r>
      <w:r w:rsidR="00142062" w:rsidRPr="00A85CC6">
        <w:rPr>
          <w:rFonts w:ascii="Arial" w:hAnsi="Arial" w:cs="Arial"/>
          <w:sz w:val="23"/>
          <w:szCs w:val="23"/>
        </w:rPr>
        <w:t xml:space="preserve">); declaração de residência (alínea </w:t>
      </w:r>
      <w:r w:rsidR="00142062" w:rsidRPr="00A85CC6">
        <w:rPr>
          <w:rFonts w:ascii="Arial" w:hAnsi="Arial" w:cs="Arial"/>
          <w:i/>
          <w:sz w:val="23"/>
          <w:szCs w:val="23"/>
        </w:rPr>
        <w:t>m</w:t>
      </w:r>
      <w:r w:rsidR="00142062" w:rsidRPr="00A85CC6">
        <w:rPr>
          <w:rFonts w:ascii="Arial" w:hAnsi="Arial" w:cs="Arial"/>
          <w:sz w:val="23"/>
          <w:szCs w:val="23"/>
        </w:rPr>
        <w:t>)</w:t>
      </w:r>
      <w:r w:rsidR="0040430D" w:rsidRPr="00A85CC6">
        <w:rPr>
          <w:rFonts w:ascii="Arial" w:hAnsi="Arial" w:cs="Arial"/>
          <w:sz w:val="23"/>
          <w:szCs w:val="23"/>
        </w:rPr>
        <w:t>.</w:t>
      </w:r>
    </w:p>
    <w:p w:rsidR="0040430D" w:rsidRDefault="001B1A4E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Conquanto singelas,</w:t>
      </w:r>
      <w:r w:rsidR="00784CB7">
        <w:rPr>
          <w:rFonts w:ascii="Arial" w:hAnsi="Arial" w:cs="Arial"/>
          <w:sz w:val="23"/>
          <w:szCs w:val="23"/>
        </w:rPr>
        <w:t xml:space="preserve"> </w:t>
      </w:r>
      <w:r w:rsidR="00716712">
        <w:rPr>
          <w:rFonts w:ascii="Arial" w:hAnsi="Arial" w:cs="Arial"/>
          <w:sz w:val="23"/>
          <w:szCs w:val="23"/>
        </w:rPr>
        <w:t xml:space="preserve">essas </w:t>
      </w:r>
      <w:r w:rsidR="0038459B">
        <w:rPr>
          <w:rFonts w:ascii="Arial" w:hAnsi="Arial" w:cs="Arial"/>
          <w:sz w:val="23"/>
          <w:szCs w:val="23"/>
        </w:rPr>
        <w:t xml:space="preserve">exigências </w:t>
      </w:r>
      <w:r w:rsidR="00716712">
        <w:rPr>
          <w:rFonts w:ascii="Arial" w:hAnsi="Arial" w:cs="Arial"/>
          <w:sz w:val="23"/>
          <w:szCs w:val="23"/>
        </w:rPr>
        <w:t xml:space="preserve">extrapolam </w:t>
      </w:r>
      <w:r w:rsidR="0038459B">
        <w:rPr>
          <w:rFonts w:ascii="Arial" w:hAnsi="Arial" w:cs="Arial"/>
          <w:sz w:val="23"/>
          <w:szCs w:val="23"/>
        </w:rPr>
        <w:t>o taxativo rol do Estatuto das Licitações e, por esse motivo, não podem ser requisitadas sob o título de condição de habilitação, embora eventualmente devam ser apresentadas pelas licitantes vencedoras, no momento da assinatura do contrato.</w:t>
      </w:r>
    </w:p>
    <w:p w:rsidR="00D16415" w:rsidRDefault="00D16415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Em situação análoga, também em concorrência para delegação de serviços de táxi, </w:t>
      </w:r>
      <w:r w:rsidR="00C2508B">
        <w:rPr>
          <w:rFonts w:ascii="Arial" w:hAnsi="Arial" w:cs="Arial"/>
          <w:sz w:val="23"/>
          <w:szCs w:val="23"/>
        </w:rPr>
        <w:t>a exigência de documentos como os aqui indicados foi considerada restritiva por esta Corte de Contas, senão vejamos:</w:t>
      </w:r>
    </w:p>
    <w:p w:rsidR="007C3F3A" w:rsidRPr="007C3F3A" w:rsidRDefault="007C3F3A" w:rsidP="007C3F3A">
      <w:pPr>
        <w:tabs>
          <w:tab w:val="left" w:pos="1418"/>
        </w:tabs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7C3F3A">
        <w:rPr>
          <w:rFonts w:ascii="Arial" w:hAnsi="Arial" w:cs="Arial"/>
          <w:sz w:val="20"/>
          <w:szCs w:val="20"/>
        </w:rPr>
        <w:t>Na verdade, os documentos mencionados nos subitens em exame podem e devem ser exigidos pela Administração, conforme previsto, inclusive, em norma municipal, porém o momento adequado para fazê-lo é na assinatura dos contratos e não na habilitação jurídica, sob pena de alijar da disputa potenciais interessados, fulminando, uma vez mais, o princípio da competitividade</w:t>
      </w:r>
      <w:r>
        <w:rPr>
          <w:rFonts w:ascii="Arial" w:hAnsi="Arial" w:cs="Arial"/>
          <w:sz w:val="20"/>
          <w:szCs w:val="20"/>
        </w:rPr>
        <w:t>.</w:t>
      </w:r>
      <w:r w:rsidR="0075587A">
        <w:rPr>
          <w:rFonts w:ascii="Arial" w:hAnsi="Arial" w:cs="Arial"/>
          <w:sz w:val="20"/>
          <w:szCs w:val="20"/>
        </w:rPr>
        <w:t xml:space="preserve"> </w:t>
      </w:r>
      <w:r>
        <w:rPr>
          <w:rStyle w:val="Refdenotaderodap"/>
          <w:rFonts w:ascii="Arial" w:hAnsi="Arial" w:cs="Arial"/>
          <w:sz w:val="20"/>
          <w:szCs w:val="20"/>
        </w:rPr>
        <w:footnoteReference w:id="3"/>
      </w:r>
    </w:p>
    <w:p w:rsidR="00C61850" w:rsidRDefault="004C5CA0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Na mesma situação é possível inserir o atestado</w:t>
      </w:r>
      <w:r w:rsidR="00937ABA">
        <w:rPr>
          <w:rFonts w:ascii="Arial" w:hAnsi="Arial" w:cs="Arial"/>
          <w:sz w:val="23"/>
          <w:szCs w:val="23"/>
        </w:rPr>
        <w:t xml:space="preserve"> de bons antecedentes (alínea</w:t>
      </w:r>
      <w:r w:rsidR="000262FB">
        <w:rPr>
          <w:rFonts w:ascii="Arial" w:hAnsi="Arial" w:cs="Arial"/>
          <w:sz w:val="23"/>
          <w:szCs w:val="23"/>
        </w:rPr>
        <w:t>s</w:t>
      </w:r>
      <w:r w:rsidR="00937ABA">
        <w:rPr>
          <w:rFonts w:ascii="Arial" w:hAnsi="Arial" w:cs="Arial"/>
          <w:sz w:val="23"/>
          <w:szCs w:val="23"/>
        </w:rPr>
        <w:t xml:space="preserve"> </w:t>
      </w:r>
      <w:r w:rsidR="00937ABA" w:rsidRPr="00937ABA">
        <w:rPr>
          <w:rFonts w:ascii="Arial" w:hAnsi="Arial" w:cs="Arial"/>
          <w:i/>
          <w:sz w:val="23"/>
          <w:szCs w:val="23"/>
        </w:rPr>
        <w:t>h</w:t>
      </w:r>
      <w:r w:rsidR="000262FB">
        <w:rPr>
          <w:rFonts w:ascii="Arial" w:hAnsi="Arial" w:cs="Arial"/>
          <w:i/>
          <w:sz w:val="23"/>
          <w:szCs w:val="23"/>
        </w:rPr>
        <w:t xml:space="preserve"> </w:t>
      </w:r>
      <w:r w:rsidR="000262FB" w:rsidRPr="000262FB">
        <w:rPr>
          <w:rFonts w:ascii="Arial" w:hAnsi="Arial" w:cs="Arial"/>
          <w:sz w:val="23"/>
          <w:szCs w:val="23"/>
        </w:rPr>
        <w:t>e</w:t>
      </w:r>
      <w:r w:rsidR="000262FB">
        <w:rPr>
          <w:rFonts w:ascii="Arial" w:hAnsi="Arial" w:cs="Arial"/>
          <w:i/>
          <w:sz w:val="23"/>
          <w:szCs w:val="23"/>
        </w:rPr>
        <w:t xml:space="preserve"> f.8</w:t>
      </w:r>
      <w:r w:rsidR="00937ABA">
        <w:rPr>
          <w:rFonts w:ascii="Arial" w:hAnsi="Arial" w:cs="Arial"/>
          <w:sz w:val="23"/>
          <w:szCs w:val="23"/>
        </w:rPr>
        <w:t>) e as certidões negativas de distribuição de feitos criminais na Justiça Estadual e Federal (alínea</w:t>
      </w:r>
      <w:r w:rsidR="000262FB">
        <w:rPr>
          <w:rFonts w:ascii="Arial" w:hAnsi="Arial" w:cs="Arial"/>
          <w:sz w:val="23"/>
          <w:szCs w:val="23"/>
        </w:rPr>
        <w:t>s</w:t>
      </w:r>
      <w:r w:rsidR="00937ABA">
        <w:rPr>
          <w:rFonts w:ascii="Arial" w:hAnsi="Arial" w:cs="Arial"/>
          <w:sz w:val="23"/>
          <w:szCs w:val="23"/>
        </w:rPr>
        <w:t xml:space="preserve"> </w:t>
      </w:r>
      <w:r w:rsidR="00937ABA" w:rsidRPr="00937ABA">
        <w:rPr>
          <w:rFonts w:ascii="Arial" w:hAnsi="Arial" w:cs="Arial"/>
          <w:i/>
          <w:sz w:val="23"/>
          <w:szCs w:val="23"/>
        </w:rPr>
        <w:t>j</w:t>
      </w:r>
      <w:r w:rsidR="000262FB">
        <w:rPr>
          <w:rFonts w:ascii="Arial" w:hAnsi="Arial" w:cs="Arial"/>
          <w:i/>
          <w:sz w:val="23"/>
          <w:szCs w:val="23"/>
        </w:rPr>
        <w:t xml:space="preserve"> </w:t>
      </w:r>
      <w:r w:rsidR="000262FB" w:rsidRPr="000262FB">
        <w:rPr>
          <w:rFonts w:ascii="Arial" w:hAnsi="Arial" w:cs="Arial"/>
          <w:sz w:val="23"/>
          <w:szCs w:val="23"/>
        </w:rPr>
        <w:t>e</w:t>
      </w:r>
      <w:r w:rsidR="000262FB">
        <w:rPr>
          <w:rFonts w:ascii="Arial" w:hAnsi="Arial" w:cs="Arial"/>
          <w:i/>
          <w:sz w:val="23"/>
          <w:szCs w:val="23"/>
        </w:rPr>
        <w:t xml:space="preserve"> f.5</w:t>
      </w:r>
      <w:r w:rsidR="00937ABA">
        <w:rPr>
          <w:rFonts w:ascii="Arial" w:hAnsi="Arial" w:cs="Arial"/>
          <w:sz w:val="23"/>
          <w:szCs w:val="23"/>
        </w:rPr>
        <w:t>).</w:t>
      </w:r>
      <w:r w:rsidR="007F024D">
        <w:rPr>
          <w:rFonts w:ascii="Arial" w:hAnsi="Arial" w:cs="Arial"/>
          <w:sz w:val="23"/>
          <w:szCs w:val="23"/>
        </w:rPr>
        <w:t xml:space="preserve"> </w:t>
      </w:r>
    </w:p>
    <w:p w:rsidR="00D41A64" w:rsidRDefault="007F024D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Nesses casos, além da ausência entre as condições permitidas pela lei, verifica-se a manifesta afronta ao princípio universal da presunção de inocência, por pretender alijar do processo licitatório </w:t>
      </w:r>
      <w:r w:rsidR="00282B49">
        <w:rPr>
          <w:rFonts w:ascii="Arial" w:hAnsi="Arial" w:cs="Arial"/>
          <w:sz w:val="23"/>
          <w:szCs w:val="23"/>
        </w:rPr>
        <w:t xml:space="preserve">pessoas sobre as quais não </w:t>
      </w:r>
      <w:r w:rsidR="00C61850">
        <w:rPr>
          <w:rFonts w:ascii="Arial" w:hAnsi="Arial" w:cs="Arial"/>
          <w:sz w:val="23"/>
          <w:szCs w:val="23"/>
        </w:rPr>
        <w:t>pesa condenação penal transitada em julgado</w:t>
      </w:r>
      <w:r w:rsidR="00D709FA">
        <w:rPr>
          <w:rFonts w:ascii="Arial" w:hAnsi="Arial" w:cs="Arial"/>
          <w:sz w:val="23"/>
          <w:szCs w:val="23"/>
        </w:rPr>
        <w:t xml:space="preserve">, </w:t>
      </w:r>
      <w:r w:rsidR="006F12C9">
        <w:rPr>
          <w:rFonts w:ascii="Arial" w:hAnsi="Arial" w:cs="Arial"/>
          <w:sz w:val="23"/>
          <w:szCs w:val="23"/>
        </w:rPr>
        <w:t xml:space="preserve">mesmo </w:t>
      </w:r>
      <w:r w:rsidR="00C61850">
        <w:rPr>
          <w:rFonts w:ascii="Arial" w:hAnsi="Arial" w:cs="Arial"/>
          <w:sz w:val="23"/>
          <w:szCs w:val="23"/>
        </w:rPr>
        <w:t xml:space="preserve">que </w:t>
      </w:r>
      <w:r w:rsidR="00D709FA">
        <w:rPr>
          <w:rFonts w:ascii="Arial" w:hAnsi="Arial" w:cs="Arial"/>
          <w:sz w:val="23"/>
          <w:szCs w:val="23"/>
        </w:rPr>
        <w:t xml:space="preserve">apresentem alguma passagem por infrações </w:t>
      </w:r>
      <w:r w:rsidR="00C61850">
        <w:rPr>
          <w:rFonts w:ascii="Arial" w:hAnsi="Arial" w:cs="Arial"/>
          <w:sz w:val="23"/>
          <w:szCs w:val="23"/>
        </w:rPr>
        <w:t xml:space="preserve">dessa natureza </w:t>
      </w:r>
      <w:r w:rsidR="00282B49">
        <w:rPr>
          <w:rFonts w:ascii="Arial" w:hAnsi="Arial" w:cs="Arial"/>
          <w:sz w:val="23"/>
          <w:szCs w:val="23"/>
        </w:rPr>
        <w:t>nos órgãos judiciários ou de segurança pública</w:t>
      </w:r>
      <w:r w:rsidR="00D709FA">
        <w:rPr>
          <w:rFonts w:ascii="Arial" w:hAnsi="Arial" w:cs="Arial"/>
          <w:sz w:val="23"/>
          <w:szCs w:val="23"/>
        </w:rPr>
        <w:t>.</w:t>
      </w:r>
    </w:p>
    <w:p w:rsidR="00B13AE9" w:rsidRDefault="00B13AE9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Ademais, ainda que exista condenação penal definitiva, </w:t>
      </w:r>
      <w:r w:rsidR="007358CD">
        <w:rPr>
          <w:rFonts w:ascii="Arial" w:hAnsi="Arial" w:cs="Arial"/>
          <w:sz w:val="23"/>
          <w:szCs w:val="23"/>
        </w:rPr>
        <w:t xml:space="preserve">esse fato somente poderá compor o rol de exigências para habilitação </w:t>
      </w:r>
      <w:r>
        <w:rPr>
          <w:rFonts w:ascii="Arial" w:hAnsi="Arial" w:cs="Arial"/>
          <w:sz w:val="23"/>
          <w:szCs w:val="23"/>
        </w:rPr>
        <w:t xml:space="preserve">nas situações em que a proibição </w:t>
      </w:r>
      <w:r>
        <w:rPr>
          <w:rFonts w:ascii="Arial" w:hAnsi="Arial" w:cs="Arial"/>
          <w:sz w:val="23"/>
          <w:szCs w:val="23"/>
        </w:rPr>
        <w:lastRenderedPageBreak/>
        <w:t xml:space="preserve">para contratar </w:t>
      </w:r>
      <w:r w:rsidR="007358CD">
        <w:rPr>
          <w:rFonts w:ascii="Arial" w:hAnsi="Arial" w:cs="Arial"/>
          <w:sz w:val="23"/>
          <w:szCs w:val="23"/>
        </w:rPr>
        <w:t>com a Administração Pública constitua penalidade</w:t>
      </w:r>
      <w:r w:rsidR="000D5F04">
        <w:rPr>
          <w:rFonts w:ascii="Arial" w:hAnsi="Arial" w:cs="Arial"/>
          <w:sz w:val="23"/>
          <w:szCs w:val="23"/>
        </w:rPr>
        <w:t xml:space="preserve"> pela infração cometida</w:t>
      </w:r>
      <w:r w:rsidR="007358CD">
        <w:rPr>
          <w:rFonts w:ascii="Arial" w:hAnsi="Arial" w:cs="Arial"/>
          <w:sz w:val="23"/>
          <w:szCs w:val="23"/>
        </w:rPr>
        <w:t>.</w:t>
      </w:r>
    </w:p>
    <w:p w:rsidR="0035624D" w:rsidRDefault="00EB63CD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 que concerne a</w:t>
      </w:r>
      <w:r w:rsidR="00483848">
        <w:rPr>
          <w:rFonts w:ascii="Arial" w:hAnsi="Arial" w:cs="Arial"/>
          <w:sz w:val="23"/>
          <w:szCs w:val="23"/>
        </w:rPr>
        <w:t>o comprovante de não cometimento de infrações que totalizem 21 pontos nos últimos 12 meses</w:t>
      </w:r>
      <w:r w:rsidR="00EC68E0">
        <w:rPr>
          <w:rFonts w:ascii="Arial" w:hAnsi="Arial" w:cs="Arial"/>
          <w:sz w:val="23"/>
          <w:szCs w:val="23"/>
        </w:rPr>
        <w:t xml:space="preserve"> (alínea </w:t>
      </w:r>
      <w:r w:rsidR="00EC68E0" w:rsidRPr="00EC68E0">
        <w:rPr>
          <w:rFonts w:ascii="Arial" w:hAnsi="Arial" w:cs="Arial"/>
          <w:i/>
          <w:sz w:val="23"/>
          <w:szCs w:val="23"/>
        </w:rPr>
        <w:t>o</w:t>
      </w:r>
      <w:r w:rsidR="00FE1209">
        <w:rPr>
          <w:rFonts w:ascii="Arial" w:hAnsi="Arial" w:cs="Arial"/>
          <w:sz w:val="23"/>
          <w:szCs w:val="23"/>
        </w:rPr>
        <w:t xml:space="preserve"> e </w:t>
      </w:r>
      <w:r w:rsidR="00FE1209">
        <w:rPr>
          <w:rFonts w:ascii="Arial" w:hAnsi="Arial" w:cs="Arial"/>
          <w:i/>
          <w:sz w:val="23"/>
          <w:szCs w:val="23"/>
        </w:rPr>
        <w:t>f.6</w:t>
      </w:r>
      <w:r>
        <w:rPr>
          <w:rFonts w:ascii="Arial" w:hAnsi="Arial" w:cs="Arial"/>
          <w:sz w:val="23"/>
          <w:szCs w:val="23"/>
        </w:rPr>
        <w:t>)</w:t>
      </w:r>
      <w:r w:rsidR="0035624D">
        <w:rPr>
          <w:rFonts w:ascii="Arial" w:hAnsi="Arial" w:cs="Arial"/>
          <w:sz w:val="23"/>
          <w:szCs w:val="23"/>
        </w:rPr>
        <w:t>, não se pode negar sua ausência entre os documentos listados pela legislação vigente, o que, pelas razões acima despendidas, inviabiliza sua permanência como condição de habilitação.</w:t>
      </w:r>
    </w:p>
    <w:p w:rsidR="00A1582E" w:rsidRDefault="000677BA" w:rsidP="000677B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0677BA">
        <w:rPr>
          <w:rFonts w:ascii="Arial" w:hAnsi="Arial" w:cs="Arial"/>
          <w:sz w:val="23"/>
          <w:szCs w:val="23"/>
        </w:rPr>
        <w:t>De todo modo, é inegável que o condutor que atinge essa elevada pontuação no curto período de um ano demonstra menor aptidão para prestar o objeto do contrato com qualidade</w:t>
      </w:r>
      <w:r w:rsidR="00662F9B">
        <w:rPr>
          <w:rFonts w:ascii="Arial" w:hAnsi="Arial" w:cs="Arial"/>
          <w:sz w:val="23"/>
          <w:szCs w:val="23"/>
        </w:rPr>
        <w:t>,</w:t>
      </w:r>
      <w:r w:rsidRPr="000677BA">
        <w:rPr>
          <w:rFonts w:ascii="Arial" w:hAnsi="Arial" w:cs="Arial"/>
          <w:sz w:val="23"/>
          <w:szCs w:val="23"/>
        </w:rPr>
        <w:t xml:space="preserve"> </w:t>
      </w:r>
      <w:r w:rsidR="00662F9B">
        <w:rPr>
          <w:rFonts w:ascii="Arial" w:hAnsi="Arial" w:cs="Arial"/>
          <w:sz w:val="23"/>
          <w:szCs w:val="23"/>
        </w:rPr>
        <w:t xml:space="preserve">eficiência </w:t>
      </w:r>
      <w:r w:rsidRPr="000677BA">
        <w:rPr>
          <w:rFonts w:ascii="Arial" w:hAnsi="Arial" w:cs="Arial"/>
          <w:sz w:val="23"/>
          <w:szCs w:val="23"/>
        </w:rPr>
        <w:t>e segurança</w:t>
      </w:r>
      <w:r w:rsidR="00A1582E">
        <w:rPr>
          <w:rFonts w:ascii="Arial" w:hAnsi="Arial" w:cs="Arial"/>
          <w:sz w:val="23"/>
          <w:szCs w:val="23"/>
        </w:rPr>
        <w:t>, que é a finalidade maior da delegação do serviço público</w:t>
      </w:r>
      <w:r w:rsidRPr="000677BA">
        <w:rPr>
          <w:rFonts w:ascii="Arial" w:hAnsi="Arial" w:cs="Arial"/>
          <w:sz w:val="23"/>
          <w:szCs w:val="23"/>
        </w:rPr>
        <w:t xml:space="preserve">. </w:t>
      </w:r>
    </w:p>
    <w:p w:rsidR="00D709FA" w:rsidRPr="000677BA" w:rsidRDefault="000677BA" w:rsidP="000677B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0677BA">
        <w:rPr>
          <w:rFonts w:ascii="Arial" w:hAnsi="Arial" w:cs="Arial"/>
          <w:sz w:val="23"/>
          <w:szCs w:val="23"/>
        </w:rPr>
        <w:t xml:space="preserve">Aliás, </w:t>
      </w:r>
      <w:r w:rsidR="00EB63CD" w:rsidRPr="000677BA">
        <w:rPr>
          <w:rFonts w:ascii="Arial" w:hAnsi="Arial" w:cs="Arial"/>
          <w:sz w:val="23"/>
          <w:szCs w:val="23"/>
        </w:rPr>
        <w:t xml:space="preserve">nos termos do que dispõe o art. 261, §1º, da Lei nº 9.503, de 1997, </w:t>
      </w:r>
      <w:r>
        <w:rPr>
          <w:rFonts w:ascii="Arial" w:hAnsi="Arial" w:cs="Arial"/>
          <w:sz w:val="23"/>
          <w:szCs w:val="23"/>
        </w:rPr>
        <w:t xml:space="preserve">essa situação sujeita o motorista </w:t>
      </w:r>
      <w:r w:rsidR="00953D11" w:rsidRPr="000677BA">
        <w:rPr>
          <w:rFonts w:ascii="Arial" w:hAnsi="Arial" w:cs="Arial"/>
          <w:sz w:val="23"/>
          <w:szCs w:val="23"/>
        </w:rPr>
        <w:t>à aplicação da penalidade de suspen</w:t>
      </w:r>
      <w:r w:rsidR="00E77B37" w:rsidRPr="000677BA">
        <w:rPr>
          <w:rFonts w:ascii="Arial" w:hAnsi="Arial" w:cs="Arial"/>
          <w:sz w:val="23"/>
          <w:szCs w:val="23"/>
        </w:rPr>
        <w:t>são do direito de dirigir, que pode durar de um mês a dois anos.</w:t>
      </w:r>
    </w:p>
    <w:p w:rsidR="005B191F" w:rsidRDefault="00A1582E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Assim, </w:t>
      </w:r>
      <w:r w:rsidR="00CB7B58">
        <w:rPr>
          <w:rFonts w:ascii="Arial" w:hAnsi="Arial" w:cs="Arial"/>
          <w:sz w:val="23"/>
          <w:szCs w:val="23"/>
        </w:rPr>
        <w:t>uma alternativa viável para a valoração das infrações, em nome da melhor qualidade do serviço e da maior satisfação do usuário, seria a sua inserção entre os critérios de pontuação da proposta técnica, com o desconto de pontos em razão do cometimento de infrações.</w:t>
      </w:r>
    </w:p>
    <w:p w:rsidR="00630E34" w:rsidRDefault="00630E34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Dessa forma, a Administração municipal estaria protegendo o usuário e escolhendo o licitante mais apto à prestação do serviço, sem perder de vista a melhor técnica e a observância das normas postas.</w:t>
      </w:r>
    </w:p>
    <w:p w:rsidR="007358CD" w:rsidRDefault="007358CD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Assim, mostra-se irregular a exigência de comprovante de não cometimento de infrações que totalizem 21 pontos nos últimos 12 meses como condição de habilitação, facultando-se ao gestor, caso entenda conveniente, despontuar o licitante infrator na avaliação da proposta técnica, desde que esse critério esteja previsto no edital.</w:t>
      </w:r>
    </w:p>
    <w:p w:rsidR="005B191F" w:rsidRDefault="00C30E6F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Diante dessas ponderações, entendemos que devam ser excluídas as exigências:</w:t>
      </w:r>
    </w:p>
    <w:p w:rsidR="00C30E6F" w:rsidRDefault="00C30E6F" w:rsidP="00C30E6F">
      <w:pPr>
        <w:tabs>
          <w:tab w:val="left" w:pos="1134"/>
          <w:tab w:val="left" w:pos="1418"/>
        </w:tabs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- para pessoas físicas: item 8.1, alíneas a, b, d, e, g, h, j, m, o;</w:t>
      </w:r>
    </w:p>
    <w:p w:rsidR="00C30E6F" w:rsidRDefault="00C30E6F" w:rsidP="00C30E6F">
      <w:pPr>
        <w:tabs>
          <w:tab w:val="left" w:pos="1134"/>
          <w:tab w:val="left" w:pos="1418"/>
        </w:tabs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ab/>
        <w:t>- para pessoas jurídicas: item 8.1 – qualificação técnica – alíneas f.5, f.7 e f.8.</w:t>
      </w:r>
    </w:p>
    <w:p w:rsidR="006A61E1" w:rsidRPr="006A61E1" w:rsidRDefault="006A61E1" w:rsidP="006A61E1">
      <w:pPr>
        <w:tabs>
          <w:tab w:val="left" w:pos="1418"/>
        </w:tabs>
        <w:spacing w:after="200" w:line="36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Dos critérios de pontuação da proposta técnica</w:t>
      </w:r>
    </w:p>
    <w:p w:rsidR="006A61E1" w:rsidRDefault="005A3103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item 9 do instrumento convocatório estabeleceu seis critérios de pontuação das propostas técnicas, </w:t>
      </w:r>
      <w:r w:rsidR="00E22FF0">
        <w:rPr>
          <w:rFonts w:ascii="Arial" w:hAnsi="Arial" w:cs="Arial"/>
          <w:sz w:val="23"/>
          <w:szCs w:val="23"/>
        </w:rPr>
        <w:t xml:space="preserve">sendo o valor total apurado pela </w:t>
      </w:r>
      <w:r>
        <w:rPr>
          <w:rFonts w:ascii="Arial" w:hAnsi="Arial" w:cs="Arial"/>
          <w:sz w:val="23"/>
          <w:szCs w:val="23"/>
        </w:rPr>
        <w:t>soma dos po</w:t>
      </w:r>
      <w:r w:rsidR="00E22FF0">
        <w:rPr>
          <w:rFonts w:ascii="Arial" w:hAnsi="Arial" w:cs="Arial"/>
          <w:sz w:val="23"/>
          <w:szCs w:val="23"/>
        </w:rPr>
        <w:t>ntos recebidos em cada critério, nos termos do item 9.2.</w:t>
      </w:r>
      <w:r>
        <w:rPr>
          <w:rFonts w:ascii="Arial" w:hAnsi="Arial" w:cs="Arial"/>
          <w:sz w:val="23"/>
          <w:szCs w:val="23"/>
        </w:rPr>
        <w:t xml:space="preserve"> </w:t>
      </w:r>
    </w:p>
    <w:p w:rsidR="0011565F" w:rsidRDefault="0011565F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Na licitação realizada sob o tipo “melhor técnica”, </w:t>
      </w:r>
      <w:r w:rsidR="00A14852">
        <w:rPr>
          <w:rFonts w:ascii="Arial" w:hAnsi="Arial" w:cs="Arial"/>
          <w:sz w:val="23"/>
          <w:szCs w:val="23"/>
        </w:rPr>
        <w:t>as propostas ofertadas deverão ser avaliadas não sob o prisma de preço, sobre o qual não haverá discussão durante o procedimento, mas pela qualidade do serviço oferecido, que será determinante para a satisfação do interesse público em jogo.</w:t>
      </w:r>
    </w:p>
    <w:p w:rsidR="00A3057A" w:rsidRDefault="00F80CAD" w:rsidP="00A3057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Para o alcance </w:t>
      </w:r>
      <w:r w:rsidR="00A3057A">
        <w:rPr>
          <w:rFonts w:ascii="Arial" w:hAnsi="Arial" w:cs="Arial"/>
          <w:sz w:val="23"/>
          <w:szCs w:val="23"/>
        </w:rPr>
        <w:t>desse propósito, a Administração deve estabelecer, no instrumento convocatório, os critérios que serão considerados para a escolha do vencedor, de modo a atender ao princípio do julgamento objetivo</w:t>
      </w:r>
      <w:r w:rsidR="008E38E7">
        <w:rPr>
          <w:rFonts w:ascii="Arial" w:hAnsi="Arial" w:cs="Arial"/>
          <w:sz w:val="23"/>
          <w:szCs w:val="23"/>
        </w:rPr>
        <w:t>.</w:t>
      </w:r>
    </w:p>
    <w:p w:rsidR="00DC575F" w:rsidRPr="00237B79" w:rsidRDefault="008E38E7" w:rsidP="00A3057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237B79">
        <w:rPr>
          <w:rFonts w:ascii="Arial" w:hAnsi="Arial" w:cs="Arial"/>
          <w:sz w:val="23"/>
          <w:szCs w:val="23"/>
        </w:rPr>
        <w:t>Em que pese tratar</w:t>
      </w:r>
      <w:r w:rsidR="00FA4EF7" w:rsidRPr="00237B79">
        <w:rPr>
          <w:rFonts w:ascii="Arial" w:hAnsi="Arial" w:cs="Arial"/>
          <w:sz w:val="23"/>
          <w:szCs w:val="23"/>
        </w:rPr>
        <w:t>-se</w:t>
      </w:r>
      <w:r w:rsidRPr="00237B79">
        <w:rPr>
          <w:rFonts w:ascii="Arial" w:hAnsi="Arial" w:cs="Arial"/>
          <w:sz w:val="23"/>
          <w:szCs w:val="23"/>
        </w:rPr>
        <w:t xml:space="preserve"> de matéria em que age com certa margem de liberdade, por inexistir prévia </w:t>
      </w:r>
      <w:r w:rsidR="00FA4EF7" w:rsidRPr="00237B79">
        <w:rPr>
          <w:rFonts w:ascii="Arial" w:hAnsi="Arial" w:cs="Arial"/>
          <w:sz w:val="23"/>
          <w:szCs w:val="23"/>
        </w:rPr>
        <w:t xml:space="preserve">definição legal dos fatores a serem pontuados, ao gestor não é permitido indicar critérios </w:t>
      </w:r>
      <w:r w:rsidR="00DC575F" w:rsidRPr="00237B79">
        <w:rPr>
          <w:rFonts w:ascii="Arial" w:hAnsi="Arial" w:cs="Arial"/>
          <w:sz w:val="23"/>
          <w:szCs w:val="23"/>
        </w:rPr>
        <w:t xml:space="preserve">que não guardem relação </w:t>
      </w:r>
      <w:r w:rsidR="00EE22C3">
        <w:rPr>
          <w:rFonts w:ascii="Arial" w:hAnsi="Arial" w:cs="Arial"/>
          <w:sz w:val="23"/>
          <w:szCs w:val="23"/>
        </w:rPr>
        <w:t xml:space="preserve">de afinidade </w:t>
      </w:r>
      <w:r w:rsidR="00DC575F" w:rsidRPr="00237B79">
        <w:rPr>
          <w:rFonts w:ascii="Arial" w:hAnsi="Arial" w:cs="Arial"/>
          <w:sz w:val="23"/>
          <w:szCs w:val="23"/>
        </w:rPr>
        <w:t>com o objeto licitado.</w:t>
      </w:r>
      <w:r w:rsidR="00237B79">
        <w:rPr>
          <w:rFonts w:ascii="Arial" w:hAnsi="Arial" w:cs="Arial"/>
          <w:sz w:val="23"/>
          <w:szCs w:val="23"/>
        </w:rPr>
        <w:t xml:space="preserve"> </w:t>
      </w:r>
      <w:r w:rsidR="00DC575F" w:rsidRPr="00237B79">
        <w:rPr>
          <w:rFonts w:ascii="Arial" w:hAnsi="Arial" w:cs="Arial"/>
          <w:sz w:val="23"/>
          <w:szCs w:val="23"/>
        </w:rPr>
        <w:t xml:space="preserve">Ao revés, </w:t>
      </w:r>
      <w:r w:rsidR="00237B79" w:rsidRPr="00237B79">
        <w:rPr>
          <w:rFonts w:ascii="Arial" w:hAnsi="Arial" w:cs="Arial"/>
          <w:sz w:val="23"/>
          <w:szCs w:val="23"/>
        </w:rPr>
        <w:t>deve eleger fatores que apresentem pertinência e adequação ao ganho de qualidade pretendido para a contratação.</w:t>
      </w:r>
    </w:p>
    <w:p w:rsidR="006A61E1" w:rsidRPr="00C304C8" w:rsidRDefault="00EE22C3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Nesse contexto, a</w:t>
      </w:r>
      <w:r w:rsidR="00C304C8" w:rsidRPr="00C304C8">
        <w:rPr>
          <w:rFonts w:ascii="Arial" w:hAnsi="Arial" w:cs="Arial"/>
          <w:sz w:val="23"/>
          <w:szCs w:val="23"/>
        </w:rPr>
        <w:t xml:space="preserve">lgumas balizas para </w:t>
      </w:r>
      <w:r w:rsidR="00B776F7">
        <w:rPr>
          <w:rFonts w:ascii="Arial" w:hAnsi="Arial" w:cs="Arial"/>
          <w:sz w:val="23"/>
          <w:szCs w:val="23"/>
        </w:rPr>
        <w:t>a escolha dos critérios técnicos</w:t>
      </w:r>
      <w:r w:rsidR="00C304C8" w:rsidRPr="00C304C8">
        <w:rPr>
          <w:rFonts w:ascii="Arial" w:hAnsi="Arial" w:cs="Arial"/>
          <w:sz w:val="23"/>
          <w:szCs w:val="23"/>
        </w:rPr>
        <w:t xml:space="preserve"> foram definidas pela </w:t>
      </w:r>
      <w:r w:rsidR="00BD173F" w:rsidRPr="00C304C8">
        <w:rPr>
          <w:rFonts w:ascii="Arial" w:hAnsi="Arial" w:cs="Arial"/>
          <w:sz w:val="23"/>
          <w:szCs w:val="23"/>
        </w:rPr>
        <w:t>Lei de Licitações</w:t>
      </w:r>
      <w:r w:rsidR="00C304C8">
        <w:rPr>
          <w:rFonts w:ascii="Arial" w:hAnsi="Arial" w:cs="Arial"/>
          <w:sz w:val="23"/>
          <w:szCs w:val="23"/>
        </w:rPr>
        <w:t>,</w:t>
      </w:r>
      <w:r w:rsidR="00BD173F" w:rsidRPr="00C304C8">
        <w:rPr>
          <w:rFonts w:ascii="Arial" w:hAnsi="Arial" w:cs="Arial"/>
          <w:sz w:val="23"/>
          <w:szCs w:val="23"/>
        </w:rPr>
        <w:t xml:space="preserve"> </w:t>
      </w:r>
      <w:r w:rsidR="002938AF" w:rsidRPr="00C304C8">
        <w:rPr>
          <w:rFonts w:ascii="Arial" w:hAnsi="Arial" w:cs="Arial"/>
          <w:sz w:val="23"/>
          <w:szCs w:val="23"/>
        </w:rPr>
        <w:t>em seu art. 46, §1º:</w:t>
      </w:r>
    </w:p>
    <w:p w:rsidR="002938AF" w:rsidRDefault="002938AF" w:rsidP="002938AF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46. [...]</w:t>
      </w:r>
    </w:p>
    <w:p w:rsidR="002938AF" w:rsidRDefault="002938AF" w:rsidP="002938AF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§1º Nas licitações do tipo melhor técnica será adotado o seguinte procedimento claramente explicitado no instrumento convocatório, o qual fixará o preço máximo que a Administração se propõe a pagar:</w:t>
      </w:r>
    </w:p>
    <w:p w:rsidR="002938AF" w:rsidRPr="002938AF" w:rsidRDefault="002938AF" w:rsidP="00AD2E98">
      <w:pPr>
        <w:tabs>
          <w:tab w:val="left" w:pos="1418"/>
        </w:tabs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serão abertos os envelopes contendo as propostas técnicas exclusivamente dos licitantes previamente qualificados e feita então a avaliação e classificação destas propostas </w:t>
      </w:r>
      <w:r w:rsidRPr="002938AF">
        <w:rPr>
          <w:rFonts w:ascii="Arial" w:hAnsi="Arial" w:cs="Arial"/>
          <w:sz w:val="20"/>
          <w:szCs w:val="20"/>
          <w:u w:val="single"/>
        </w:rPr>
        <w:t>de acordo com os critérios pertinentes e adequados ao objeto licitado</w:t>
      </w:r>
      <w:r>
        <w:rPr>
          <w:rFonts w:ascii="Arial" w:hAnsi="Arial" w:cs="Arial"/>
          <w:sz w:val="20"/>
          <w:szCs w:val="20"/>
        </w:rPr>
        <w:t xml:space="preserve">, definidos com clareza e objetividade no instrumento convocatório e que considerem </w:t>
      </w:r>
      <w:r w:rsidRPr="00556BB0">
        <w:rPr>
          <w:rFonts w:ascii="Arial" w:hAnsi="Arial" w:cs="Arial"/>
          <w:sz w:val="20"/>
          <w:szCs w:val="20"/>
          <w:u w:val="single"/>
        </w:rPr>
        <w:t>a capacitação e a experiência do proponente, a qualidade técnica da proposta</w:t>
      </w:r>
      <w:r>
        <w:rPr>
          <w:rFonts w:ascii="Arial" w:hAnsi="Arial" w:cs="Arial"/>
          <w:sz w:val="20"/>
          <w:szCs w:val="20"/>
        </w:rPr>
        <w:t xml:space="preserve">, compreendendo metodologia, organização, tecnologias e recursos materiais a serem utilizados nos trabalhos, </w:t>
      </w:r>
      <w:r w:rsidRPr="00556BB0">
        <w:rPr>
          <w:rFonts w:ascii="Arial" w:hAnsi="Arial" w:cs="Arial"/>
          <w:sz w:val="20"/>
          <w:szCs w:val="20"/>
          <w:u w:val="single"/>
        </w:rPr>
        <w:t>e a qualificação das equipes técnicas</w:t>
      </w:r>
      <w:r>
        <w:rPr>
          <w:rFonts w:ascii="Arial" w:hAnsi="Arial" w:cs="Arial"/>
          <w:sz w:val="20"/>
          <w:szCs w:val="20"/>
        </w:rPr>
        <w:t xml:space="preserve"> a serem mobilizadas para a sua execução. [grifo</w:t>
      </w:r>
      <w:r w:rsidR="00556BB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aditado</w:t>
      </w:r>
      <w:r w:rsidR="00556BB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]</w:t>
      </w:r>
    </w:p>
    <w:p w:rsidR="00086CA9" w:rsidRPr="00631011" w:rsidRDefault="00802731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</w:t>
      </w:r>
      <w:r w:rsidR="006B5329">
        <w:rPr>
          <w:rFonts w:ascii="Arial" w:hAnsi="Arial" w:cs="Arial"/>
          <w:sz w:val="23"/>
          <w:szCs w:val="23"/>
        </w:rPr>
        <w:t>T</w:t>
      </w:r>
      <w:r w:rsidR="00735D3F">
        <w:rPr>
          <w:rFonts w:ascii="Arial" w:hAnsi="Arial" w:cs="Arial"/>
          <w:sz w:val="23"/>
          <w:szCs w:val="23"/>
        </w:rPr>
        <w:t xml:space="preserve">ribunal de </w:t>
      </w:r>
      <w:r w:rsidR="006B5329">
        <w:rPr>
          <w:rFonts w:ascii="Arial" w:hAnsi="Arial" w:cs="Arial"/>
          <w:sz w:val="23"/>
          <w:szCs w:val="23"/>
        </w:rPr>
        <w:t>C</w:t>
      </w:r>
      <w:r w:rsidR="00735D3F">
        <w:rPr>
          <w:rFonts w:ascii="Arial" w:hAnsi="Arial" w:cs="Arial"/>
          <w:sz w:val="23"/>
          <w:szCs w:val="23"/>
        </w:rPr>
        <w:t xml:space="preserve">ontas da </w:t>
      </w:r>
      <w:r w:rsidR="006B5329">
        <w:rPr>
          <w:rFonts w:ascii="Arial" w:hAnsi="Arial" w:cs="Arial"/>
          <w:sz w:val="23"/>
          <w:szCs w:val="23"/>
        </w:rPr>
        <w:t>U</w:t>
      </w:r>
      <w:r w:rsidR="00735D3F">
        <w:rPr>
          <w:rFonts w:ascii="Arial" w:hAnsi="Arial" w:cs="Arial"/>
          <w:sz w:val="23"/>
          <w:szCs w:val="23"/>
        </w:rPr>
        <w:t>nião</w:t>
      </w:r>
      <w:r w:rsidR="006B5329">
        <w:rPr>
          <w:rFonts w:ascii="Arial" w:hAnsi="Arial" w:cs="Arial"/>
          <w:sz w:val="23"/>
          <w:szCs w:val="23"/>
        </w:rPr>
        <w:t xml:space="preserve"> corrobora esse</w:t>
      </w:r>
      <w:r>
        <w:rPr>
          <w:rFonts w:ascii="Arial" w:hAnsi="Arial" w:cs="Arial"/>
          <w:sz w:val="23"/>
          <w:szCs w:val="23"/>
        </w:rPr>
        <w:t xml:space="preserve"> raciocínio, consoante se observa do seguinte excerto, extraído de sua decisão:</w:t>
      </w:r>
    </w:p>
    <w:p w:rsidR="00C34F3A" w:rsidRDefault="00C34F3A" w:rsidP="00C34F3A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C34F3A">
        <w:rPr>
          <w:rFonts w:ascii="Arial" w:hAnsi="Arial" w:cs="Arial"/>
          <w:sz w:val="20"/>
          <w:szCs w:val="20"/>
        </w:rPr>
        <w:lastRenderedPageBreak/>
        <w:t>26.</w:t>
      </w:r>
      <w:r>
        <w:rPr>
          <w:rFonts w:ascii="Arial" w:hAnsi="Arial" w:cs="Arial"/>
          <w:sz w:val="20"/>
          <w:szCs w:val="20"/>
        </w:rPr>
        <w:t xml:space="preserve"> </w:t>
      </w:r>
      <w:r w:rsidRPr="00C34F3A">
        <w:rPr>
          <w:rFonts w:ascii="Arial" w:hAnsi="Arial" w:cs="Arial"/>
          <w:sz w:val="20"/>
          <w:szCs w:val="20"/>
        </w:rPr>
        <w:t>Adotando-se a síntese formulada por Jessé Torres Pereira Júnior [in Comentários à Lei das Licitações e Contratos da Administração Pública. 3ª ed. Rio de Janeiro: Renovar, 1995, p. 295], verifica-se que esses critérios abrangem três aspectos, a saber:</w:t>
      </w:r>
    </w:p>
    <w:p w:rsidR="00C34F3A" w:rsidRDefault="00C34F3A" w:rsidP="00C34F3A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C34F3A">
        <w:rPr>
          <w:rFonts w:ascii="Arial" w:hAnsi="Arial" w:cs="Arial"/>
          <w:sz w:val="20"/>
          <w:szCs w:val="20"/>
        </w:rPr>
        <w:t>a) a capacitação e a experiência do proponente na execução do objeto, que não se confundem com as exigências de caráter genérico da fase de habilitação;</w:t>
      </w:r>
      <w:r w:rsidRPr="00C34F3A">
        <w:rPr>
          <w:rFonts w:ascii="Arial" w:hAnsi="Arial" w:cs="Arial"/>
          <w:sz w:val="20"/>
          <w:szCs w:val="20"/>
        </w:rPr>
        <w:br/>
        <w:t xml:space="preserve">b) a qualidade técnica da proposta, ou seja, o modelo operacional a ser utilizado na execução do objeto, incluindo metodologia, organização, tecnologias e recursos materiais; e </w:t>
      </w:r>
    </w:p>
    <w:p w:rsidR="00C34F3A" w:rsidRDefault="00C34F3A" w:rsidP="00C34F3A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C34F3A">
        <w:rPr>
          <w:rFonts w:ascii="Arial" w:hAnsi="Arial" w:cs="Arial"/>
          <w:sz w:val="20"/>
          <w:szCs w:val="20"/>
        </w:rPr>
        <w:t>c) a qualificação das equipes técnicas que executarão o projeto.</w:t>
      </w:r>
    </w:p>
    <w:p w:rsidR="00631011" w:rsidRDefault="00C34F3A" w:rsidP="00891A69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C34F3A">
        <w:rPr>
          <w:rFonts w:ascii="Arial" w:hAnsi="Arial" w:cs="Arial"/>
          <w:sz w:val="20"/>
          <w:szCs w:val="20"/>
        </w:rPr>
        <w:t>27.</w:t>
      </w:r>
      <w:r>
        <w:rPr>
          <w:rFonts w:ascii="Arial" w:hAnsi="Arial" w:cs="Arial"/>
          <w:sz w:val="20"/>
          <w:szCs w:val="20"/>
        </w:rPr>
        <w:t xml:space="preserve"> </w:t>
      </w:r>
      <w:r w:rsidRPr="00C34F3A">
        <w:rPr>
          <w:rFonts w:ascii="Arial" w:hAnsi="Arial" w:cs="Arial"/>
          <w:sz w:val="20"/>
          <w:szCs w:val="20"/>
        </w:rPr>
        <w:t>À primeira vista, a redação do dispositivo legal leva à interpretação de que todos os critérios citados devem sempre compor a avaliação da proposta técnica. No entanto, cabe lembrar que a norma determina que os critérios sejam 'pertinentes e adequados ao objeto licitado'. Portanto, são as características do objeto que irão definir quais os critérios do art. 46, § 1º, inciso I, da Lei 8.666/93 aplicáveis e em que medida tais critérios deverão ser utilizados. Isso significa que é possível ocorrer situações em que a natureza daquilo que é licitado determinará que um critério venha a ter primazia sobre outro e seja mais extensamente utilizado na avaliação. Ou, ainda, haverá casos em que o objeto tornará certos critérios inaplicáveis. O que, por óbvio, não poderá ocorrer será a supressão completa dos critérios de avaliação previstos na lei, visto que tal prática é desconforme com o tipo de licitação em análise.</w:t>
      </w:r>
    </w:p>
    <w:p w:rsidR="00C34F3A" w:rsidRPr="00491F18" w:rsidRDefault="00C34F3A" w:rsidP="00491F18">
      <w:pPr>
        <w:tabs>
          <w:tab w:val="left" w:pos="1418"/>
        </w:tabs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C34F3A">
        <w:rPr>
          <w:rFonts w:ascii="Arial" w:hAnsi="Arial" w:cs="Arial"/>
          <w:sz w:val="20"/>
          <w:szCs w:val="20"/>
        </w:rPr>
        <w:t>28.</w:t>
      </w:r>
      <w:r>
        <w:rPr>
          <w:rFonts w:ascii="Arial" w:hAnsi="Arial" w:cs="Arial"/>
          <w:sz w:val="20"/>
          <w:szCs w:val="20"/>
        </w:rPr>
        <w:t xml:space="preserve"> </w:t>
      </w:r>
      <w:r w:rsidRPr="00C34F3A">
        <w:rPr>
          <w:rFonts w:ascii="Arial" w:hAnsi="Arial" w:cs="Arial"/>
          <w:sz w:val="20"/>
          <w:szCs w:val="20"/>
        </w:rPr>
        <w:t xml:space="preserve">Nesse contexto, a melhor interpretação para o art. 46, § 1º, inciso I, da Lei 8.666/93 é aquela que entende que </w:t>
      </w:r>
      <w:r w:rsidRPr="00C34F3A">
        <w:rPr>
          <w:rFonts w:ascii="Arial" w:hAnsi="Arial" w:cs="Arial"/>
          <w:sz w:val="20"/>
          <w:szCs w:val="20"/>
          <w:u w:val="single"/>
        </w:rPr>
        <w:t>o gestor deve, obrigatoriamente, adequar a avaliação da proposta técnica às particularidades do objeto licitado, elegendo os critérios, dentre aqueles arrolados na lei, que forem considerados apropriados, úteis e relevantes para a obtenção do resultado</w:t>
      </w:r>
      <w:r>
        <w:rPr>
          <w:rFonts w:ascii="Arial" w:hAnsi="Arial" w:cs="Arial"/>
          <w:sz w:val="20"/>
          <w:szCs w:val="20"/>
        </w:rPr>
        <w:t xml:space="preserve"> desejado pela Administração.</w:t>
      </w:r>
      <w:r>
        <w:rPr>
          <w:rStyle w:val="Refdenotaderodap"/>
          <w:rFonts w:ascii="Arial" w:hAnsi="Arial" w:cs="Arial"/>
          <w:sz w:val="20"/>
          <w:szCs w:val="20"/>
        </w:rPr>
        <w:footnoteReference w:id="4"/>
      </w:r>
    </w:p>
    <w:p w:rsidR="00491F18" w:rsidRDefault="00544B26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Sob essa ótica legal e jurisprudencial, o item 9.1.5, que pontua a cor do veículo, parece não contribuir para que o serviço de transporte individual seja prestado com melhor ou pior qualidade, por não agregar maior conforto ou segurança aos usuários.</w:t>
      </w:r>
    </w:p>
    <w:p w:rsidR="007F04E7" w:rsidRDefault="00544B26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Além disso, ao conferir maior pontuação aos veículos de cor branca, </w:t>
      </w:r>
      <w:r w:rsidR="00EB7CB3">
        <w:rPr>
          <w:rFonts w:ascii="Arial" w:hAnsi="Arial" w:cs="Arial"/>
          <w:sz w:val="23"/>
          <w:szCs w:val="23"/>
        </w:rPr>
        <w:t>o edital cria preferência não justificada</w:t>
      </w:r>
      <w:r w:rsidR="007F04E7">
        <w:rPr>
          <w:rFonts w:ascii="Arial" w:hAnsi="Arial" w:cs="Arial"/>
          <w:sz w:val="23"/>
          <w:szCs w:val="23"/>
        </w:rPr>
        <w:t xml:space="preserve"> no procedimento, que, ao menos em princípio, não qualifica o serviço. </w:t>
      </w:r>
    </w:p>
    <w:p w:rsidR="00544B26" w:rsidRPr="00784CB7" w:rsidRDefault="007F04E7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sz w:val="23"/>
          <w:szCs w:val="23"/>
        </w:rPr>
        <w:t xml:space="preserve">Registre-se que o Município, ao regulamentar a atividade de transporte individual em sua circunscrição, pode definir padrões visuais para os veículos, com vistas a facilitar sua identificação no trânsito. </w:t>
      </w:r>
      <w:r w:rsidRPr="00784CB7">
        <w:rPr>
          <w:rFonts w:ascii="Arial" w:hAnsi="Arial" w:cs="Arial"/>
          <w:b/>
          <w:sz w:val="23"/>
          <w:szCs w:val="23"/>
        </w:rPr>
        <w:t xml:space="preserve">Nessa situação, é imprescindível que </w:t>
      </w:r>
      <w:r w:rsidRPr="00784CB7">
        <w:rPr>
          <w:rFonts w:ascii="Arial" w:hAnsi="Arial" w:cs="Arial"/>
          <w:b/>
          <w:sz w:val="23"/>
          <w:szCs w:val="23"/>
        </w:rPr>
        <w:lastRenderedPageBreak/>
        <w:t>tais padrões, inclusive cor, constem do ato normativo</w:t>
      </w:r>
      <w:r w:rsidR="00F777FA" w:rsidRPr="00784CB7">
        <w:rPr>
          <w:rFonts w:ascii="Arial" w:hAnsi="Arial" w:cs="Arial"/>
          <w:b/>
          <w:sz w:val="23"/>
          <w:szCs w:val="23"/>
        </w:rPr>
        <w:t xml:space="preserve"> municipal</w:t>
      </w:r>
      <w:r w:rsidRPr="00784CB7">
        <w:rPr>
          <w:rFonts w:ascii="Arial" w:hAnsi="Arial" w:cs="Arial"/>
          <w:b/>
          <w:sz w:val="23"/>
          <w:szCs w:val="23"/>
        </w:rPr>
        <w:t xml:space="preserve">, </w:t>
      </w:r>
      <w:r w:rsidRPr="00784CB7">
        <w:rPr>
          <w:rFonts w:ascii="Arial" w:hAnsi="Arial" w:cs="Arial"/>
          <w:b/>
          <w:sz w:val="23"/>
          <w:szCs w:val="23"/>
          <w:u w:val="single"/>
        </w:rPr>
        <w:t>cuja adequação será exigida de todos os permissionários.</w:t>
      </w:r>
    </w:p>
    <w:p w:rsidR="007F04E7" w:rsidRDefault="007F04E7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Na presente situação, </w:t>
      </w:r>
      <w:r w:rsidR="001E2CA8">
        <w:rPr>
          <w:rFonts w:ascii="Arial" w:hAnsi="Arial" w:cs="Arial"/>
          <w:sz w:val="23"/>
          <w:szCs w:val="23"/>
        </w:rPr>
        <w:t>não há referência à cor dos veículos que prestarão o serviço de táxi na lei municipal (Lei nº 20, de 2013 – fls. 102/109) e, ainda que houvesse, não poderia ser pontuado como fator técnico, por se tratar de padrão imposto a todos os contratados</w:t>
      </w:r>
      <w:r w:rsidR="002B5033">
        <w:rPr>
          <w:rFonts w:ascii="Arial" w:hAnsi="Arial" w:cs="Arial"/>
          <w:sz w:val="23"/>
          <w:szCs w:val="23"/>
        </w:rPr>
        <w:t>, sem diferencial qualitativo.</w:t>
      </w:r>
    </w:p>
    <w:p w:rsidR="00491F18" w:rsidRDefault="00947BEF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Destarte, ante a impertinência do critério para a aferição da técnica envolvida no serviço a ser prestado, deve ser excluído o item 9.1.5</w:t>
      </w:r>
      <w:r w:rsidR="00E33E39">
        <w:rPr>
          <w:rFonts w:ascii="Arial" w:hAnsi="Arial" w:cs="Arial"/>
          <w:sz w:val="23"/>
          <w:szCs w:val="23"/>
        </w:rPr>
        <w:t>, com a consequente adequação d</w:t>
      </w:r>
      <w:r>
        <w:rPr>
          <w:rFonts w:ascii="Arial" w:hAnsi="Arial" w:cs="Arial"/>
          <w:sz w:val="23"/>
          <w:szCs w:val="23"/>
        </w:rPr>
        <w:t>o item 9.2.</w:t>
      </w:r>
    </w:p>
    <w:p w:rsidR="00821B65" w:rsidRPr="00821B65" w:rsidRDefault="00821B65" w:rsidP="00821B65">
      <w:pPr>
        <w:tabs>
          <w:tab w:val="left" w:pos="1418"/>
        </w:tabs>
        <w:spacing w:after="200" w:line="36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Do prazo para impugnação do edital</w:t>
      </w:r>
    </w:p>
    <w:p w:rsidR="00821B65" w:rsidRPr="00322107" w:rsidRDefault="005E0FAD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322107">
        <w:rPr>
          <w:rFonts w:ascii="Arial" w:hAnsi="Arial" w:cs="Arial"/>
          <w:sz w:val="23"/>
          <w:szCs w:val="23"/>
        </w:rPr>
        <w:t>O</w:t>
      </w:r>
      <w:r w:rsidR="00D37DCE" w:rsidRPr="00322107">
        <w:rPr>
          <w:rFonts w:ascii="Arial" w:hAnsi="Arial" w:cs="Arial"/>
          <w:sz w:val="23"/>
          <w:szCs w:val="23"/>
        </w:rPr>
        <w:t xml:space="preserve"> prazo para impugnação do edital fo</w:t>
      </w:r>
      <w:r w:rsidRPr="00322107">
        <w:rPr>
          <w:rFonts w:ascii="Arial" w:hAnsi="Arial" w:cs="Arial"/>
          <w:sz w:val="23"/>
          <w:szCs w:val="23"/>
        </w:rPr>
        <w:t>i indicado</w:t>
      </w:r>
      <w:r w:rsidR="00D37DCE" w:rsidRPr="00322107">
        <w:rPr>
          <w:rFonts w:ascii="Arial" w:hAnsi="Arial" w:cs="Arial"/>
          <w:sz w:val="23"/>
          <w:szCs w:val="23"/>
        </w:rPr>
        <w:t xml:space="preserve"> no item 14.1, para as licitantes, e </w:t>
      </w:r>
      <w:r w:rsidRPr="00322107">
        <w:rPr>
          <w:rFonts w:ascii="Arial" w:hAnsi="Arial" w:cs="Arial"/>
          <w:sz w:val="23"/>
          <w:szCs w:val="23"/>
        </w:rPr>
        <w:t>no item 14.2, para os cidadãos, sendo nos dois casos até o quinto dia útil que anteceder a abertura do Envelope 1, contendo as propostas técnicas</w:t>
      </w:r>
      <w:r w:rsidR="00322107" w:rsidRPr="00322107">
        <w:rPr>
          <w:rFonts w:ascii="Arial" w:hAnsi="Arial" w:cs="Arial"/>
          <w:sz w:val="23"/>
          <w:szCs w:val="23"/>
        </w:rPr>
        <w:t>.</w:t>
      </w:r>
    </w:p>
    <w:p w:rsidR="005E0FAD" w:rsidRDefault="00B0358D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Tal matéria foi objeto de tratamento legal pelo art. 41, §§1º e 2º, da Lei nº 8.666, de 1993, nos seguintes termos:</w:t>
      </w:r>
    </w:p>
    <w:p w:rsidR="00B0358D" w:rsidRDefault="00B0358D" w:rsidP="00B0358D">
      <w:pPr>
        <w:pStyle w:val="NormalWeb"/>
        <w:spacing w:before="0" w:beforeAutospacing="0" w:after="0" w:afterAutospacing="0"/>
        <w:ind w:left="2807"/>
        <w:jc w:val="both"/>
      </w:pPr>
      <w:r>
        <w:rPr>
          <w:rFonts w:ascii="Arial" w:hAnsi="Arial" w:cs="Arial"/>
          <w:sz w:val="20"/>
          <w:szCs w:val="20"/>
        </w:rPr>
        <w:t>Art. 41.  [...]</w:t>
      </w:r>
    </w:p>
    <w:p w:rsidR="00B0358D" w:rsidRDefault="00B0358D" w:rsidP="00B0358D">
      <w:pPr>
        <w:pStyle w:val="NormalWeb"/>
        <w:spacing w:before="0" w:beforeAutospacing="0" w:after="0" w:afterAutospacing="0"/>
        <w:ind w:left="2807"/>
        <w:jc w:val="both"/>
      </w:pPr>
      <w:r>
        <w:rPr>
          <w:rFonts w:ascii="Arial" w:hAnsi="Arial" w:cs="Arial"/>
          <w:sz w:val="20"/>
          <w:szCs w:val="20"/>
        </w:rPr>
        <w:t>§ 1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  Qualquer </w:t>
      </w:r>
      <w:r w:rsidRPr="00CB6801">
        <w:rPr>
          <w:rFonts w:ascii="Arial" w:hAnsi="Arial" w:cs="Arial"/>
          <w:b/>
          <w:sz w:val="20"/>
          <w:szCs w:val="20"/>
          <w:u w:val="single"/>
        </w:rPr>
        <w:t>cidadão</w:t>
      </w:r>
      <w:r>
        <w:rPr>
          <w:rFonts w:ascii="Arial" w:hAnsi="Arial" w:cs="Arial"/>
          <w:sz w:val="20"/>
          <w:szCs w:val="20"/>
        </w:rPr>
        <w:t xml:space="preserve"> é parte legítima para impugnar edital de licitação por irregularidade na aplicação desta Lei, devendo protocolar o pedido </w:t>
      </w:r>
      <w:r w:rsidRPr="00CB6801">
        <w:rPr>
          <w:rFonts w:ascii="Arial" w:hAnsi="Arial" w:cs="Arial"/>
          <w:b/>
          <w:sz w:val="20"/>
          <w:szCs w:val="20"/>
          <w:u w:val="single"/>
        </w:rPr>
        <w:t>até 5 (cinco) dias úteis antes da data fixada para a abertura dos envelopes de habilitação</w:t>
      </w:r>
      <w:r>
        <w:rPr>
          <w:rFonts w:ascii="Arial" w:hAnsi="Arial" w:cs="Arial"/>
          <w:sz w:val="20"/>
          <w:szCs w:val="20"/>
        </w:rPr>
        <w:t>, devendo a Administração julgar e responder à impugnação em até 3 (três) dias úteis, sem prejuízo da faculdade prevista no § 1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do art. 113.</w:t>
      </w:r>
    </w:p>
    <w:p w:rsidR="00B0358D" w:rsidRPr="004D61E7" w:rsidRDefault="00B0358D" w:rsidP="004D61E7">
      <w:pPr>
        <w:pStyle w:val="NormalWeb"/>
        <w:spacing w:before="0" w:beforeAutospacing="0" w:after="200" w:afterAutospacing="0"/>
        <w:ind w:left="2807"/>
        <w:jc w:val="both"/>
      </w:pPr>
      <w:bookmarkStart w:id="0" w:name="art41§2"/>
      <w:bookmarkEnd w:id="0"/>
      <w:r>
        <w:rPr>
          <w:rFonts w:ascii="Arial" w:hAnsi="Arial" w:cs="Arial"/>
          <w:sz w:val="20"/>
          <w:szCs w:val="20"/>
        </w:rPr>
        <w:t>§ 2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  Decairá do direito de impugnar os termos do edital de licitação perante a administração o </w:t>
      </w:r>
      <w:r w:rsidRPr="00CB6801">
        <w:rPr>
          <w:rFonts w:ascii="Arial" w:hAnsi="Arial" w:cs="Arial"/>
          <w:b/>
          <w:sz w:val="20"/>
          <w:szCs w:val="20"/>
          <w:u w:val="single"/>
        </w:rPr>
        <w:t>licitante</w:t>
      </w:r>
      <w:r>
        <w:rPr>
          <w:rFonts w:ascii="Arial" w:hAnsi="Arial" w:cs="Arial"/>
          <w:sz w:val="20"/>
          <w:szCs w:val="20"/>
        </w:rPr>
        <w:t xml:space="preserve"> que não o fizer até o </w:t>
      </w:r>
      <w:r w:rsidRPr="00CB6801">
        <w:rPr>
          <w:rFonts w:ascii="Arial" w:hAnsi="Arial" w:cs="Arial"/>
          <w:b/>
          <w:sz w:val="20"/>
          <w:szCs w:val="20"/>
          <w:u w:val="single"/>
        </w:rPr>
        <w:t>segundo dia útil que anteceder a abertura dos envelopes de habilitação</w:t>
      </w:r>
      <w:r>
        <w:rPr>
          <w:rFonts w:ascii="Arial" w:hAnsi="Arial" w:cs="Arial"/>
          <w:sz w:val="20"/>
          <w:szCs w:val="20"/>
        </w:rPr>
        <w:t xml:space="preserve"> em concorrência, a abertura dos envelopes com as propostas em convite, tomada de preços ou concurso, ou a realização de leilão, as falhas ou irregularidades que viciariam esse edital, hipótese em que tal comunicação não terá efeito de recurso.</w:t>
      </w:r>
    </w:p>
    <w:p w:rsidR="00821B65" w:rsidRDefault="00AD15EB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Confrontando as disposições legais com as previsões editalícias citadas, verifica-se a incompatibilidade do item 14.1 com a redação do art. 41, §2º, do Estatuto das Licitações, na medida em que o primeiro reduz em três dias o prazo legalmente concedido às licitantes para impugnação do edital.</w:t>
      </w:r>
    </w:p>
    <w:p w:rsidR="00AD15EB" w:rsidRDefault="0071554A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Ante a </w:t>
      </w:r>
      <w:r w:rsidR="00FB342D">
        <w:rPr>
          <w:rFonts w:ascii="Arial" w:hAnsi="Arial" w:cs="Arial"/>
          <w:sz w:val="23"/>
          <w:szCs w:val="23"/>
        </w:rPr>
        <w:t>assertividade da disposição da lei na definição do prazo, há que se concluir pela impossibilidade de sua alteração ao alvedrio do administrador público, considerando-se, inclusive, sua relevância para que os interessados em participar no certame possam suscitar seus apontamentos e</w:t>
      </w:r>
      <w:r w:rsidR="00621051">
        <w:rPr>
          <w:rFonts w:ascii="Arial" w:hAnsi="Arial" w:cs="Arial"/>
          <w:sz w:val="23"/>
          <w:szCs w:val="23"/>
        </w:rPr>
        <w:t>, eventualmente,</w:t>
      </w:r>
      <w:r w:rsidR="00FB342D">
        <w:rPr>
          <w:rFonts w:ascii="Arial" w:hAnsi="Arial" w:cs="Arial"/>
          <w:sz w:val="23"/>
          <w:szCs w:val="23"/>
        </w:rPr>
        <w:t xml:space="preserve"> provocar o exercício da autotutela, a fim de corrigir distorções antes da consumação da ilegalidade.</w:t>
      </w:r>
    </w:p>
    <w:p w:rsidR="00FB342D" w:rsidRDefault="00B949F1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Deste modo, entendemos que o item 14.1 deva ser corrigido, alterando-se de “até o quinto dia útil” para “até o segundo dia útil”, a fim de compatibilizá-lo com as disposições do art. 41, §2º, da Lei nº 8.666, de 1993.</w:t>
      </w:r>
    </w:p>
    <w:p w:rsidR="00101ED2" w:rsidRPr="00833E97" w:rsidRDefault="00833E97" w:rsidP="00101ED2">
      <w:pPr>
        <w:tabs>
          <w:tab w:val="left" w:pos="1418"/>
        </w:tabs>
        <w:spacing w:after="200" w:line="36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Dos erros materiais</w:t>
      </w:r>
    </w:p>
    <w:p w:rsidR="00C92213" w:rsidRDefault="00C92213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Além das impropriedades suscitadas, apontamos aqui pequenas incorreções materiais que, embora não interfiram na regularidade da licitação, podem contribuir para o aprimoramento do edital, se corrigidas em eventual republicação.</w:t>
      </w:r>
    </w:p>
    <w:p w:rsidR="00C92213" w:rsidRDefault="00C92213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 item 11.1.1</w:t>
      </w:r>
      <w:r w:rsidR="00D94866">
        <w:rPr>
          <w:rFonts w:ascii="Arial" w:hAnsi="Arial" w:cs="Arial"/>
          <w:sz w:val="23"/>
          <w:szCs w:val="23"/>
        </w:rPr>
        <w:t xml:space="preserve">, ao tratar da forma de julgamento, há referência apenas à soma da pontuação das pessoas físicas, enquanto </w:t>
      </w:r>
      <w:r w:rsidR="000E4A89">
        <w:rPr>
          <w:rFonts w:ascii="Arial" w:hAnsi="Arial" w:cs="Arial"/>
          <w:sz w:val="23"/>
          <w:szCs w:val="23"/>
        </w:rPr>
        <w:t>na descrição do objeto (item 1.1) e na previsão das condições de habilitação (item 8) denota-se a aceitação de pessoas jurídicas no certame.</w:t>
      </w:r>
    </w:p>
    <w:p w:rsidR="00975349" w:rsidRDefault="006E373E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Assim, a fim de compatibilizar as disposições editalícias, é conveniente que </w:t>
      </w:r>
      <w:r w:rsidR="009D7DA2">
        <w:rPr>
          <w:rFonts w:ascii="Arial" w:hAnsi="Arial" w:cs="Arial"/>
          <w:sz w:val="23"/>
          <w:szCs w:val="23"/>
        </w:rPr>
        <w:t xml:space="preserve">o item 11.1.1 contemple as pessoas físicas e jurídicas, ocasião em que </w:t>
      </w:r>
      <w:r w:rsidR="00A662A5">
        <w:rPr>
          <w:rFonts w:ascii="Arial" w:hAnsi="Arial" w:cs="Arial"/>
          <w:sz w:val="23"/>
          <w:szCs w:val="23"/>
        </w:rPr>
        <w:t>sugerimos</w:t>
      </w:r>
      <w:r w:rsidR="009D7DA2">
        <w:rPr>
          <w:rFonts w:ascii="Arial" w:hAnsi="Arial" w:cs="Arial"/>
          <w:sz w:val="23"/>
          <w:szCs w:val="23"/>
        </w:rPr>
        <w:t xml:space="preserve"> a utilização da terminologia “licitantes” no lugar de “pessoas </w:t>
      </w:r>
      <w:r w:rsidR="00BC0E31">
        <w:rPr>
          <w:rFonts w:ascii="Arial" w:hAnsi="Arial" w:cs="Arial"/>
          <w:sz w:val="23"/>
          <w:szCs w:val="23"/>
        </w:rPr>
        <w:t>físicas</w:t>
      </w:r>
      <w:r w:rsidR="009D7DA2">
        <w:rPr>
          <w:rFonts w:ascii="Arial" w:hAnsi="Arial" w:cs="Arial"/>
          <w:sz w:val="23"/>
          <w:szCs w:val="23"/>
        </w:rPr>
        <w:t>”.</w:t>
      </w:r>
    </w:p>
    <w:p w:rsidR="009D7DA2" w:rsidRDefault="002D47CB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item 11.1.3, por sua vez, apresenta texto incompleto, cuja conclusão se encontra no item seguinte, numerado como 11.1.2. Por esse motivo, a frase deve ser </w:t>
      </w:r>
      <w:r w:rsidR="0077027C">
        <w:rPr>
          <w:rFonts w:ascii="Arial" w:hAnsi="Arial" w:cs="Arial"/>
          <w:sz w:val="23"/>
          <w:szCs w:val="23"/>
        </w:rPr>
        <w:t>reunida no item 11.1.3, excluindo-se o item que se segue, sem necessidade de reajustamento da numeração.</w:t>
      </w:r>
    </w:p>
    <w:p w:rsidR="0001239E" w:rsidRPr="00C269F5" w:rsidRDefault="0001239E" w:rsidP="0001239E">
      <w:pPr>
        <w:tabs>
          <w:tab w:val="left" w:pos="1418"/>
        </w:tabs>
        <w:spacing w:after="200"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C269F5">
        <w:rPr>
          <w:rFonts w:ascii="Arial" w:hAnsi="Arial" w:cs="Arial"/>
          <w:b/>
          <w:sz w:val="23"/>
          <w:szCs w:val="23"/>
          <w:u w:val="single"/>
        </w:rPr>
        <w:t>CONCLUSÃO</w:t>
      </w:r>
    </w:p>
    <w:p w:rsidR="00C269F5" w:rsidRDefault="00995224" w:rsidP="00995224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C269F5">
        <w:rPr>
          <w:rFonts w:ascii="Arial" w:hAnsi="Arial" w:cs="Arial"/>
          <w:sz w:val="23"/>
          <w:szCs w:val="23"/>
        </w:rPr>
        <w:t xml:space="preserve">Destarte, opinamos pela citação </w:t>
      </w:r>
      <w:r w:rsidR="00C269F5">
        <w:rPr>
          <w:rFonts w:ascii="Arial" w:hAnsi="Arial" w:cs="Arial"/>
          <w:sz w:val="23"/>
          <w:szCs w:val="23"/>
        </w:rPr>
        <w:t xml:space="preserve">da Sra. Lúcia Oliveira de Farias, Secretária Municipal de Finanças e Orçamento, subscritora do projeto básico, da Sra. Angélica de Cássia Flor, Presidente da Comissão Permanente de Licitação, e do Sr. Ozanan Oliveira de Farias, Prefeito Municipal, signatários do instrumento convocatório, </w:t>
      </w:r>
      <w:r w:rsidR="00C269F5">
        <w:rPr>
          <w:rFonts w:ascii="Arial" w:hAnsi="Arial" w:cs="Arial"/>
          <w:sz w:val="23"/>
          <w:szCs w:val="23"/>
        </w:rPr>
        <w:lastRenderedPageBreak/>
        <w:t xml:space="preserve">para se manifestarem </w:t>
      </w:r>
      <w:r w:rsidR="0098135E">
        <w:rPr>
          <w:rFonts w:ascii="Arial" w:hAnsi="Arial" w:cs="Arial"/>
          <w:sz w:val="23"/>
          <w:szCs w:val="23"/>
        </w:rPr>
        <w:t xml:space="preserve">sobre as irregularidades apontadas pelo Denunciante e pela Unidade Técnica, bem como sobre os apontamentos complementares deste </w:t>
      </w:r>
      <w:r w:rsidR="0098135E" w:rsidRPr="0098135E">
        <w:rPr>
          <w:rFonts w:ascii="Arial" w:hAnsi="Arial" w:cs="Arial"/>
          <w:i/>
          <w:sz w:val="23"/>
          <w:szCs w:val="23"/>
        </w:rPr>
        <w:t>Parquet</w:t>
      </w:r>
      <w:r w:rsidR="0098135E">
        <w:rPr>
          <w:rFonts w:ascii="Arial" w:hAnsi="Arial" w:cs="Arial"/>
          <w:sz w:val="23"/>
          <w:szCs w:val="23"/>
        </w:rPr>
        <w:t>, quais sejam:</w:t>
      </w:r>
    </w:p>
    <w:p w:rsidR="0052380C" w:rsidRDefault="000C5E30" w:rsidP="004A113E">
      <w:pPr>
        <w:pStyle w:val="PargrafodaLista"/>
        <w:numPr>
          <w:ilvl w:val="0"/>
          <w:numId w:val="2"/>
        </w:numPr>
        <w:tabs>
          <w:tab w:val="left" w:pos="1418"/>
        </w:tabs>
        <w:spacing w:after="200" w:line="360" w:lineRule="auto"/>
        <w:ind w:left="1418" w:hanging="56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</w:t>
      </w:r>
      <w:r w:rsidR="0052380C">
        <w:rPr>
          <w:rFonts w:ascii="Arial" w:hAnsi="Arial" w:cs="Arial"/>
          <w:sz w:val="23"/>
          <w:szCs w:val="23"/>
        </w:rPr>
        <w:t>usência de indicação do valor da tarifa e dos critérios para revisão e reajuste;</w:t>
      </w:r>
    </w:p>
    <w:p w:rsidR="0052380C" w:rsidRDefault="000C5E30" w:rsidP="004A113E">
      <w:pPr>
        <w:pStyle w:val="PargrafodaLista"/>
        <w:numPr>
          <w:ilvl w:val="0"/>
          <w:numId w:val="2"/>
        </w:numPr>
        <w:tabs>
          <w:tab w:val="left" w:pos="1418"/>
        </w:tabs>
        <w:spacing w:after="200" w:line="360" w:lineRule="auto"/>
        <w:ind w:left="1418" w:hanging="56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</w:t>
      </w:r>
      <w:r w:rsidR="0052380C">
        <w:rPr>
          <w:rFonts w:ascii="Arial" w:hAnsi="Arial" w:cs="Arial"/>
          <w:sz w:val="23"/>
          <w:szCs w:val="23"/>
        </w:rPr>
        <w:t>usência de previsão legal para as condições de habilitação previstas no item 8.1, alíneas a, b, d, e, g, h, j, m, o, f.5, f.7 e f.8;</w:t>
      </w:r>
    </w:p>
    <w:p w:rsidR="0052380C" w:rsidRDefault="000C5E30" w:rsidP="004A113E">
      <w:pPr>
        <w:pStyle w:val="PargrafodaLista"/>
        <w:numPr>
          <w:ilvl w:val="0"/>
          <w:numId w:val="2"/>
        </w:numPr>
        <w:tabs>
          <w:tab w:val="left" w:pos="1418"/>
        </w:tabs>
        <w:spacing w:after="200" w:line="360" w:lineRule="auto"/>
        <w:ind w:left="1418" w:hanging="56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</w:t>
      </w:r>
      <w:r w:rsidR="0052380C">
        <w:rPr>
          <w:rFonts w:ascii="Arial" w:hAnsi="Arial" w:cs="Arial"/>
          <w:sz w:val="23"/>
          <w:szCs w:val="23"/>
        </w:rPr>
        <w:t>mpertinência do critério “cor do veículo”, constante do item 9.1.5, para valoração na proposta técnica;</w:t>
      </w:r>
    </w:p>
    <w:p w:rsidR="00A632B5" w:rsidRPr="0052380C" w:rsidRDefault="00A632B5" w:rsidP="004A113E">
      <w:pPr>
        <w:pStyle w:val="PargrafodaLista"/>
        <w:numPr>
          <w:ilvl w:val="0"/>
          <w:numId w:val="2"/>
        </w:numPr>
        <w:tabs>
          <w:tab w:val="left" w:pos="1418"/>
        </w:tabs>
        <w:spacing w:after="200" w:line="360" w:lineRule="auto"/>
        <w:ind w:left="1418" w:hanging="56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incompatibilidade </w:t>
      </w:r>
      <w:r w:rsidR="009E6B2E">
        <w:rPr>
          <w:rFonts w:ascii="Arial" w:hAnsi="Arial" w:cs="Arial"/>
          <w:sz w:val="23"/>
          <w:szCs w:val="23"/>
        </w:rPr>
        <w:t xml:space="preserve">entre </w:t>
      </w:r>
      <w:r>
        <w:rPr>
          <w:rFonts w:ascii="Arial" w:hAnsi="Arial" w:cs="Arial"/>
          <w:sz w:val="23"/>
          <w:szCs w:val="23"/>
        </w:rPr>
        <w:t xml:space="preserve">o prazo para impugnação </w:t>
      </w:r>
      <w:r w:rsidR="009E6B2E">
        <w:rPr>
          <w:rFonts w:ascii="Arial" w:hAnsi="Arial" w:cs="Arial"/>
          <w:sz w:val="23"/>
          <w:szCs w:val="23"/>
        </w:rPr>
        <w:t xml:space="preserve">do edital </w:t>
      </w:r>
      <w:r>
        <w:rPr>
          <w:rFonts w:ascii="Arial" w:hAnsi="Arial" w:cs="Arial"/>
          <w:sz w:val="23"/>
          <w:szCs w:val="23"/>
        </w:rPr>
        <w:t xml:space="preserve">pelas licitantes definido no item 14.1 </w:t>
      </w:r>
      <w:r w:rsidR="009E6B2E"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 a previsão do art. 41</w:t>
      </w:r>
      <w:r w:rsidR="00B11125">
        <w:rPr>
          <w:rFonts w:ascii="Arial" w:hAnsi="Arial" w:cs="Arial"/>
          <w:sz w:val="23"/>
          <w:szCs w:val="23"/>
        </w:rPr>
        <w:t>, §2º, da Lei nº 8.666, de 1993.</w:t>
      </w:r>
    </w:p>
    <w:p w:rsidR="00C269F5" w:rsidRDefault="00B11125" w:rsidP="0052380C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B11125">
        <w:rPr>
          <w:rFonts w:ascii="Arial" w:hAnsi="Arial" w:cs="Arial"/>
          <w:sz w:val="23"/>
          <w:szCs w:val="23"/>
        </w:rPr>
        <w:t>Nesta oportunidade, sugerimos que, em caso de republicação do edital, sejam corrigidos os erros materiais constantes dos itens 11.1.1 e 11.1.3 (seguido do item 11.1.2), na forma indicada neste parecer.</w:t>
      </w:r>
    </w:p>
    <w:p w:rsidR="004F403B" w:rsidRDefault="004F403B" w:rsidP="0052380C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 o parecer.</w:t>
      </w:r>
    </w:p>
    <w:p w:rsidR="004F403B" w:rsidRPr="00B11125" w:rsidRDefault="004F403B" w:rsidP="004F403B">
      <w:pPr>
        <w:tabs>
          <w:tab w:val="left" w:pos="1418"/>
        </w:tabs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995224" w:rsidRPr="00ED41E0" w:rsidRDefault="00995224" w:rsidP="00995224">
      <w:pPr>
        <w:spacing w:after="200" w:line="360" w:lineRule="auto"/>
        <w:ind w:firstLine="1701"/>
        <w:rPr>
          <w:rFonts w:ascii="Arial" w:hAnsi="Arial" w:cs="Arial"/>
          <w:sz w:val="23"/>
          <w:szCs w:val="23"/>
        </w:rPr>
      </w:pPr>
      <w:r w:rsidRPr="00ED41E0">
        <w:rPr>
          <w:rFonts w:ascii="Arial" w:hAnsi="Arial" w:cs="Arial"/>
          <w:sz w:val="23"/>
          <w:szCs w:val="23"/>
        </w:rPr>
        <w:t xml:space="preserve">Belo Horizonte, </w:t>
      </w:r>
      <w:r w:rsidR="008D7C80">
        <w:rPr>
          <w:rFonts w:ascii="Arial" w:hAnsi="Arial" w:cs="Arial"/>
          <w:sz w:val="23"/>
          <w:szCs w:val="23"/>
        </w:rPr>
        <w:t>26</w:t>
      </w:r>
      <w:r w:rsidR="00B11125">
        <w:rPr>
          <w:rFonts w:ascii="Arial" w:hAnsi="Arial" w:cs="Arial"/>
          <w:sz w:val="23"/>
          <w:szCs w:val="23"/>
        </w:rPr>
        <w:t xml:space="preserve"> </w:t>
      </w:r>
      <w:r w:rsidR="00C86ADE">
        <w:rPr>
          <w:rFonts w:ascii="Arial" w:hAnsi="Arial" w:cs="Arial"/>
          <w:sz w:val="23"/>
          <w:szCs w:val="23"/>
        </w:rPr>
        <w:t>de março</w:t>
      </w:r>
      <w:r>
        <w:rPr>
          <w:rFonts w:ascii="Arial" w:hAnsi="Arial" w:cs="Arial"/>
          <w:sz w:val="23"/>
          <w:szCs w:val="23"/>
        </w:rPr>
        <w:t xml:space="preserve"> de</w:t>
      </w:r>
      <w:r w:rsidRPr="00ED41E0">
        <w:rPr>
          <w:rFonts w:ascii="Arial" w:hAnsi="Arial" w:cs="Arial"/>
          <w:sz w:val="23"/>
          <w:szCs w:val="23"/>
        </w:rPr>
        <w:t xml:space="preserve"> 2015.</w:t>
      </w:r>
    </w:p>
    <w:p w:rsidR="00995224" w:rsidRPr="00ED41E0" w:rsidRDefault="00995224" w:rsidP="00995224">
      <w:pPr>
        <w:tabs>
          <w:tab w:val="left" w:pos="8357"/>
        </w:tabs>
        <w:jc w:val="center"/>
        <w:rPr>
          <w:rFonts w:ascii="Arial" w:hAnsi="Arial" w:cs="Arial"/>
          <w:b/>
          <w:sz w:val="23"/>
          <w:szCs w:val="23"/>
        </w:rPr>
      </w:pPr>
    </w:p>
    <w:p w:rsidR="00995224" w:rsidRPr="00ED41E0" w:rsidRDefault="00995224" w:rsidP="00995224">
      <w:pPr>
        <w:tabs>
          <w:tab w:val="left" w:pos="8357"/>
        </w:tabs>
        <w:jc w:val="center"/>
        <w:rPr>
          <w:rFonts w:ascii="Arial" w:hAnsi="Arial" w:cs="Arial"/>
          <w:b/>
          <w:sz w:val="23"/>
          <w:szCs w:val="23"/>
        </w:rPr>
      </w:pPr>
    </w:p>
    <w:p w:rsidR="00995224" w:rsidRPr="00ED41E0" w:rsidRDefault="00995224" w:rsidP="00995224">
      <w:pPr>
        <w:tabs>
          <w:tab w:val="left" w:pos="8357"/>
        </w:tabs>
        <w:jc w:val="center"/>
        <w:rPr>
          <w:rFonts w:ascii="Arial" w:hAnsi="Arial" w:cs="Arial"/>
          <w:b/>
          <w:sz w:val="23"/>
          <w:szCs w:val="23"/>
        </w:rPr>
      </w:pPr>
    </w:p>
    <w:p w:rsidR="00995224" w:rsidRPr="00ED41E0" w:rsidRDefault="00995224" w:rsidP="00995224">
      <w:pPr>
        <w:tabs>
          <w:tab w:val="left" w:pos="8357"/>
        </w:tabs>
        <w:jc w:val="center"/>
        <w:rPr>
          <w:rFonts w:ascii="Arial" w:hAnsi="Arial" w:cs="Arial"/>
          <w:b/>
          <w:sz w:val="23"/>
          <w:szCs w:val="23"/>
        </w:rPr>
      </w:pPr>
      <w:r w:rsidRPr="00ED41E0">
        <w:rPr>
          <w:rFonts w:ascii="Arial" w:hAnsi="Arial" w:cs="Arial"/>
          <w:b/>
          <w:sz w:val="23"/>
          <w:szCs w:val="23"/>
        </w:rPr>
        <w:t>Sara Meinberg</w:t>
      </w:r>
    </w:p>
    <w:p w:rsidR="00995224" w:rsidRPr="00ED41E0" w:rsidRDefault="00995224" w:rsidP="00995224">
      <w:pPr>
        <w:tabs>
          <w:tab w:val="left" w:pos="8357"/>
        </w:tabs>
        <w:jc w:val="center"/>
        <w:rPr>
          <w:sz w:val="23"/>
          <w:szCs w:val="23"/>
        </w:rPr>
      </w:pPr>
      <w:r w:rsidRPr="00ED41E0">
        <w:rPr>
          <w:rFonts w:ascii="Arial" w:hAnsi="Arial" w:cs="Arial"/>
          <w:sz w:val="23"/>
          <w:szCs w:val="23"/>
        </w:rPr>
        <w:t>Procuradora do Ministério Público de Contas</w:t>
      </w:r>
    </w:p>
    <w:p w:rsidR="00895766" w:rsidRDefault="00895766"/>
    <w:sectPr w:rsidR="00895766" w:rsidSect="006C1812">
      <w:headerReference w:type="default" r:id="rId8"/>
      <w:footerReference w:type="default" r:id="rId9"/>
      <w:pgSz w:w="11906" w:h="16838" w:code="9"/>
      <w:pgMar w:top="782" w:right="1701" w:bottom="1134" w:left="1134" w:header="680" w:footer="680" w:gutter="0"/>
      <w:pgNumType w:start="48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154" w:rsidRDefault="00B73154" w:rsidP="00995224">
      <w:r>
        <w:separator/>
      </w:r>
    </w:p>
  </w:endnote>
  <w:endnote w:type="continuationSeparator" w:id="0">
    <w:p w:rsidR="00B73154" w:rsidRDefault="00B73154" w:rsidP="00995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CB7" w:rsidRPr="007A78ED" w:rsidRDefault="00784CB7" w:rsidP="004F6959">
    <w:pPr>
      <w:pStyle w:val="Rodap"/>
      <w:tabs>
        <w:tab w:val="clear" w:pos="4252"/>
        <w:tab w:val="clear" w:pos="8504"/>
        <w:tab w:val="center" w:pos="4535"/>
      </w:tabs>
      <w:rPr>
        <w:sz w:val="16"/>
        <w:szCs w:val="16"/>
      </w:rPr>
    </w:pPr>
    <w:r>
      <w:rPr>
        <w:sz w:val="16"/>
        <w:szCs w:val="16"/>
      </w:rPr>
      <w:t>944.713 MBA</w:t>
    </w:r>
    <w:r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154" w:rsidRDefault="00B73154" w:rsidP="00995224">
      <w:r>
        <w:separator/>
      </w:r>
    </w:p>
  </w:footnote>
  <w:footnote w:type="continuationSeparator" w:id="0">
    <w:p w:rsidR="00B73154" w:rsidRDefault="00B73154" w:rsidP="00995224">
      <w:r>
        <w:continuationSeparator/>
      </w:r>
    </w:p>
  </w:footnote>
  <w:footnote w:id="1">
    <w:p w:rsidR="00784CB7" w:rsidRPr="00E20BF8" w:rsidRDefault="00784CB7" w:rsidP="00E20BF8">
      <w:pPr>
        <w:pStyle w:val="Textodenotaderodap"/>
        <w:jc w:val="both"/>
        <w:rPr>
          <w:rFonts w:ascii="Arial" w:hAnsi="Arial" w:cs="Arial"/>
        </w:rPr>
      </w:pPr>
      <w:r w:rsidRPr="00E20BF8">
        <w:rPr>
          <w:rStyle w:val="Refdenotaderodap"/>
          <w:rFonts w:ascii="Arial" w:hAnsi="Arial" w:cs="Arial"/>
        </w:rPr>
        <w:footnoteRef/>
      </w:r>
      <w:r w:rsidRPr="00E20B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Tribunal de Contas da União. AC 1842-26/13-P. Rel. Min. Ana Arraes. Sessão de 17/07/2013. Grifos aditados.</w:t>
      </w:r>
    </w:p>
  </w:footnote>
  <w:footnote w:id="2">
    <w:p w:rsidR="00784CB7" w:rsidRPr="00086CA9" w:rsidRDefault="00784CB7" w:rsidP="00086CA9">
      <w:pPr>
        <w:pStyle w:val="Textodenotaderodap"/>
        <w:jc w:val="both"/>
        <w:rPr>
          <w:rFonts w:ascii="Arial" w:hAnsi="Arial" w:cs="Arial"/>
        </w:rPr>
      </w:pPr>
      <w:r w:rsidRPr="00086CA9">
        <w:rPr>
          <w:rStyle w:val="Refdenotaderodap"/>
          <w:rFonts w:ascii="Arial" w:hAnsi="Arial" w:cs="Arial"/>
        </w:rPr>
        <w:footnoteRef/>
      </w:r>
      <w:r w:rsidRPr="00086C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Tribunal de Contas da União. AC 0492-06/11-P. Rel. Min. Marcos Bemquerer. Sessão de 23/02/2011.</w:t>
      </w:r>
    </w:p>
  </w:footnote>
  <w:footnote w:id="3">
    <w:p w:rsidR="00784CB7" w:rsidRPr="007C3F3A" w:rsidRDefault="00784CB7" w:rsidP="007C3F3A">
      <w:pPr>
        <w:pStyle w:val="Textodenotaderodap"/>
        <w:jc w:val="both"/>
        <w:rPr>
          <w:rFonts w:ascii="Arial" w:hAnsi="Arial" w:cs="Arial"/>
        </w:rPr>
      </w:pPr>
      <w:r w:rsidRPr="007C3F3A">
        <w:rPr>
          <w:rStyle w:val="Refdenotaderodap"/>
          <w:rFonts w:ascii="Arial" w:hAnsi="Arial" w:cs="Arial"/>
        </w:rPr>
        <w:footnoteRef/>
      </w:r>
      <w:r w:rsidRPr="007C3F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Tribunal de Contas do Estado de Minas Gerais. Denúncia n° 839.455. Primeira Câmara. Rel. Cons. Cláudio Terrão. Sessão de 18/12/2012.</w:t>
      </w:r>
    </w:p>
  </w:footnote>
  <w:footnote w:id="4">
    <w:p w:rsidR="00784CB7" w:rsidRPr="00C34F3A" w:rsidRDefault="00784CB7" w:rsidP="00C34F3A">
      <w:pPr>
        <w:pStyle w:val="Textodenotaderodap"/>
        <w:jc w:val="both"/>
        <w:rPr>
          <w:rFonts w:ascii="Arial" w:hAnsi="Arial" w:cs="Arial"/>
        </w:rPr>
      </w:pPr>
      <w:r w:rsidRPr="00C34F3A">
        <w:rPr>
          <w:rStyle w:val="Refdenotaderodap"/>
          <w:rFonts w:ascii="Arial" w:hAnsi="Arial" w:cs="Arial"/>
        </w:rPr>
        <w:footnoteRef/>
      </w:r>
      <w:r w:rsidRPr="00C34F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Tribunal de Contas da União. AC 2171-48/05-P. </w:t>
      </w:r>
      <w:r w:rsidRPr="009928CD">
        <w:rPr>
          <w:rFonts w:ascii="Arial" w:hAnsi="Arial" w:cs="Arial"/>
          <w:lang w:val="en-US"/>
        </w:rPr>
        <w:t xml:space="preserve">Rel. Min. Augusto Sherman Cavalcanti. </w:t>
      </w:r>
      <w:r>
        <w:rPr>
          <w:rFonts w:ascii="Arial" w:hAnsi="Arial" w:cs="Arial"/>
        </w:rPr>
        <w:t>Sessão de 07/12/2005. Grifos aditados.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1" w:type="dxa"/>
      <w:tblLayout w:type="fixed"/>
      <w:tblCellMar>
        <w:left w:w="70" w:type="dxa"/>
        <w:right w:w="70" w:type="dxa"/>
      </w:tblCellMar>
      <w:tblLook w:val="0000"/>
    </w:tblPr>
    <w:tblGrid>
      <w:gridCol w:w="7870"/>
      <w:gridCol w:w="1341"/>
    </w:tblGrid>
    <w:tr w:rsidR="00784CB7" w:rsidTr="004F6959">
      <w:trPr>
        <w:trHeight w:val="852"/>
      </w:trPr>
      <w:tc>
        <w:tcPr>
          <w:tcW w:w="7870" w:type="dxa"/>
        </w:tcPr>
        <w:p w:rsidR="00784CB7" w:rsidRDefault="00784CB7">
          <w:pPr>
            <w:pStyle w:val="Cabealho"/>
            <w:rPr>
              <w:sz w:val="16"/>
            </w:rPr>
          </w:pPr>
          <w:r>
            <w:t xml:space="preserve">                                                     </w:t>
          </w:r>
          <w:r w:rsidRPr="00954ED0">
            <w:rPr>
              <w:noProof/>
            </w:rPr>
            <w:drawing>
              <wp:inline distT="0" distB="0" distL="0" distR="0">
                <wp:extent cx="758825" cy="724535"/>
                <wp:effectExtent l="19050" t="0" r="317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1" w:type="dxa"/>
        </w:tcPr>
        <w:p w:rsidR="00784CB7" w:rsidRDefault="00784CB7">
          <w:pPr>
            <w:jc w:val="center"/>
            <w:rPr>
              <w:sz w:val="16"/>
            </w:rPr>
          </w:pPr>
        </w:p>
        <w:p w:rsidR="00784CB7" w:rsidRDefault="00784CB7" w:rsidP="004F6959">
          <w:pPr>
            <w:pStyle w:val="Cabealho"/>
            <w:jc w:val="center"/>
            <w:rPr>
              <w:sz w:val="16"/>
            </w:rPr>
          </w:pPr>
        </w:p>
      </w:tc>
    </w:tr>
    <w:tr w:rsidR="00784CB7" w:rsidTr="004F6959">
      <w:tc>
        <w:tcPr>
          <w:tcW w:w="9211" w:type="dxa"/>
          <w:gridSpan w:val="2"/>
        </w:tcPr>
        <w:p w:rsidR="00784CB7" w:rsidRDefault="00784CB7" w:rsidP="004F6959">
          <w:pPr>
            <w:pStyle w:val="Cabealho"/>
            <w:spacing w:before="12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MINISTÉRIO PÚBLICO DE CONTAS DO ESTADO DE MINAS GERAIS</w:t>
          </w:r>
        </w:p>
        <w:p w:rsidR="00784CB7" w:rsidRDefault="00784CB7" w:rsidP="004F6959">
          <w:pPr>
            <w:pStyle w:val="Cabealho"/>
            <w:spacing w:before="120"/>
            <w:jc w:val="center"/>
            <w:rPr>
              <w:sz w:val="16"/>
            </w:rPr>
          </w:pPr>
          <w:r>
            <w:rPr>
              <w:b/>
              <w:sz w:val="20"/>
            </w:rPr>
            <w:t>Gabinete da Procuradora Sara Meinberg</w:t>
          </w:r>
        </w:p>
      </w:tc>
    </w:tr>
  </w:tbl>
  <w:p w:rsidR="00784CB7" w:rsidRDefault="00784CB7">
    <w:pPr>
      <w:pStyle w:val="Cabealho"/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C03920"/>
    <w:name w:val="WW8Num34"/>
    <w:lvl w:ilvl="0">
      <w:start w:val="1"/>
      <w:numFmt w:val="decimal"/>
      <w:lvlText w:val="%1."/>
      <w:lvlJc w:val="left"/>
      <w:pPr>
        <w:tabs>
          <w:tab w:val="num" w:pos="2808"/>
        </w:tabs>
        <w:ind w:left="2808" w:hanging="397"/>
      </w:pPr>
      <w:rPr>
        <w:b w:val="0"/>
        <w:i w:val="0"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143ED1"/>
    <w:multiLevelType w:val="hybridMultilevel"/>
    <w:tmpl w:val="3D6CABF2"/>
    <w:lvl w:ilvl="0" w:tplc="04160017">
      <w:start w:val="1"/>
      <w:numFmt w:val="lowerLetter"/>
      <w:lvlText w:val="%1)"/>
      <w:lvlJc w:val="left"/>
      <w:pPr>
        <w:ind w:left="68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601" w:hanging="360"/>
      </w:pPr>
    </w:lvl>
    <w:lvl w:ilvl="2" w:tplc="0416001B" w:tentative="1">
      <w:start w:val="1"/>
      <w:numFmt w:val="lowerRoman"/>
      <w:lvlText w:val="%3."/>
      <w:lvlJc w:val="right"/>
      <w:pPr>
        <w:ind w:left="8321" w:hanging="180"/>
      </w:pPr>
    </w:lvl>
    <w:lvl w:ilvl="3" w:tplc="0416000F" w:tentative="1">
      <w:start w:val="1"/>
      <w:numFmt w:val="decimal"/>
      <w:lvlText w:val="%4."/>
      <w:lvlJc w:val="left"/>
      <w:pPr>
        <w:ind w:left="9041" w:hanging="360"/>
      </w:pPr>
    </w:lvl>
    <w:lvl w:ilvl="4" w:tplc="04160019" w:tentative="1">
      <w:start w:val="1"/>
      <w:numFmt w:val="lowerLetter"/>
      <w:lvlText w:val="%5."/>
      <w:lvlJc w:val="left"/>
      <w:pPr>
        <w:ind w:left="9761" w:hanging="360"/>
      </w:pPr>
    </w:lvl>
    <w:lvl w:ilvl="5" w:tplc="0416001B" w:tentative="1">
      <w:start w:val="1"/>
      <w:numFmt w:val="lowerRoman"/>
      <w:lvlText w:val="%6."/>
      <w:lvlJc w:val="right"/>
      <w:pPr>
        <w:ind w:left="10481" w:hanging="180"/>
      </w:pPr>
    </w:lvl>
    <w:lvl w:ilvl="6" w:tplc="0416000F" w:tentative="1">
      <w:start w:val="1"/>
      <w:numFmt w:val="decimal"/>
      <w:lvlText w:val="%7."/>
      <w:lvlJc w:val="left"/>
      <w:pPr>
        <w:ind w:left="11201" w:hanging="360"/>
      </w:pPr>
    </w:lvl>
    <w:lvl w:ilvl="7" w:tplc="04160019" w:tentative="1">
      <w:start w:val="1"/>
      <w:numFmt w:val="lowerLetter"/>
      <w:lvlText w:val="%8."/>
      <w:lvlJc w:val="left"/>
      <w:pPr>
        <w:ind w:left="11921" w:hanging="360"/>
      </w:pPr>
    </w:lvl>
    <w:lvl w:ilvl="8" w:tplc="0416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hideSpellingErrors/>
  <w:hideGrammaticalErrors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95224"/>
    <w:rsid w:val="0001239E"/>
    <w:rsid w:val="000262FB"/>
    <w:rsid w:val="00031206"/>
    <w:rsid w:val="0004327E"/>
    <w:rsid w:val="000677BA"/>
    <w:rsid w:val="00086CA9"/>
    <w:rsid w:val="000A269C"/>
    <w:rsid w:val="000A4C78"/>
    <w:rsid w:val="000C5E30"/>
    <w:rsid w:val="000D3CF5"/>
    <w:rsid w:val="000D5F04"/>
    <w:rsid w:val="000E4A89"/>
    <w:rsid w:val="00101ED2"/>
    <w:rsid w:val="0011565F"/>
    <w:rsid w:val="00123F92"/>
    <w:rsid w:val="001257C2"/>
    <w:rsid w:val="0013357E"/>
    <w:rsid w:val="00142062"/>
    <w:rsid w:val="0016359C"/>
    <w:rsid w:val="001B1A4E"/>
    <w:rsid w:val="001D2F30"/>
    <w:rsid w:val="001E2CA8"/>
    <w:rsid w:val="001E7D2D"/>
    <w:rsid w:val="001F0E2F"/>
    <w:rsid w:val="002040F4"/>
    <w:rsid w:val="002134B7"/>
    <w:rsid w:val="00237B79"/>
    <w:rsid w:val="002752FC"/>
    <w:rsid w:val="00282B49"/>
    <w:rsid w:val="00285A3B"/>
    <w:rsid w:val="002938AF"/>
    <w:rsid w:val="002B5033"/>
    <w:rsid w:val="002D217E"/>
    <w:rsid w:val="002D47CB"/>
    <w:rsid w:val="00310D0B"/>
    <w:rsid w:val="00322107"/>
    <w:rsid w:val="003305DA"/>
    <w:rsid w:val="0035624D"/>
    <w:rsid w:val="00382051"/>
    <w:rsid w:val="00383846"/>
    <w:rsid w:val="0038459B"/>
    <w:rsid w:val="003C4233"/>
    <w:rsid w:val="0040430D"/>
    <w:rsid w:val="00462539"/>
    <w:rsid w:val="00483848"/>
    <w:rsid w:val="00491F18"/>
    <w:rsid w:val="004A113E"/>
    <w:rsid w:val="004C5CA0"/>
    <w:rsid w:val="004D4CC6"/>
    <w:rsid w:val="004D61E7"/>
    <w:rsid w:val="004F403B"/>
    <w:rsid w:val="004F6959"/>
    <w:rsid w:val="00500653"/>
    <w:rsid w:val="005113CF"/>
    <w:rsid w:val="00511EEE"/>
    <w:rsid w:val="005121F2"/>
    <w:rsid w:val="005170AD"/>
    <w:rsid w:val="0052380C"/>
    <w:rsid w:val="005410F4"/>
    <w:rsid w:val="00544B26"/>
    <w:rsid w:val="00556BB0"/>
    <w:rsid w:val="005A3103"/>
    <w:rsid w:val="005B191F"/>
    <w:rsid w:val="005B4CC8"/>
    <w:rsid w:val="005C26C3"/>
    <w:rsid w:val="005C614E"/>
    <w:rsid w:val="005E0FAD"/>
    <w:rsid w:val="005E5FBD"/>
    <w:rsid w:val="00621051"/>
    <w:rsid w:val="00627A18"/>
    <w:rsid w:val="00630E34"/>
    <w:rsid w:val="00631011"/>
    <w:rsid w:val="00631812"/>
    <w:rsid w:val="006341A2"/>
    <w:rsid w:val="00635EE3"/>
    <w:rsid w:val="006423F3"/>
    <w:rsid w:val="0066278E"/>
    <w:rsid w:val="00662F9B"/>
    <w:rsid w:val="00675871"/>
    <w:rsid w:val="00684D1B"/>
    <w:rsid w:val="006A4536"/>
    <w:rsid w:val="006A61E1"/>
    <w:rsid w:val="006B5329"/>
    <w:rsid w:val="006C1812"/>
    <w:rsid w:val="006E373E"/>
    <w:rsid w:val="006E581F"/>
    <w:rsid w:val="006F12C9"/>
    <w:rsid w:val="0071554A"/>
    <w:rsid w:val="00716712"/>
    <w:rsid w:val="007358CD"/>
    <w:rsid w:val="00735D3F"/>
    <w:rsid w:val="00736261"/>
    <w:rsid w:val="00743FC7"/>
    <w:rsid w:val="0075587A"/>
    <w:rsid w:val="007560EA"/>
    <w:rsid w:val="0077027C"/>
    <w:rsid w:val="00784CB7"/>
    <w:rsid w:val="007900F6"/>
    <w:rsid w:val="00795614"/>
    <w:rsid w:val="007C3F3A"/>
    <w:rsid w:val="007C5706"/>
    <w:rsid w:val="007D5A75"/>
    <w:rsid w:val="007F024D"/>
    <w:rsid w:val="007F04E7"/>
    <w:rsid w:val="00802731"/>
    <w:rsid w:val="0080305E"/>
    <w:rsid w:val="00811AF1"/>
    <w:rsid w:val="00821B65"/>
    <w:rsid w:val="00833E97"/>
    <w:rsid w:val="0083559E"/>
    <w:rsid w:val="00855373"/>
    <w:rsid w:val="00857942"/>
    <w:rsid w:val="008664FF"/>
    <w:rsid w:val="00891A69"/>
    <w:rsid w:val="008924A9"/>
    <w:rsid w:val="00895766"/>
    <w:rsid w:val="008B11F5"/>
    <w:rsid w:val="008D7C80"/>
    <w:rsid w:val="008E38E7"/>
    <w:rsid w:val="008F326D"/>
    <w:rsid w:val="00937ABA"/>
    <w:rsid w:val="00947BEF"/>
    <w:rsid w:val="00953D11"/>
    <w:rsid w:val="00975349"/>
    <w:rsid w:val="0098135E"/>
    <w:rsid w:val="009928CD"/>
    <w:rsid w:val="00995224"/>
    <w:rsid w:val="009967A5"/>
    <w:rsid w:val="009975F1"/>
    <w:rsid w:val="009B4942"/>
    <w:rsid w:val="009B7C33"/>
    <w:rsid w:val="009D075E"/>
    <w:rsid w:val="009D7DA2"/>
    <w:rsid w:val="009E6B2E"/>
    <w:rsid w:val="00A14852"/>
    <w:rsid w:val="00A1582E"/>
    <w:rsid w:val="00A3057A"/>
    <w:rsid w:val="00A30E97"/>
    <w:rsid w:val="00A34D01"/>
    <w:rsid w:val="00A632B5"/>
    <w:rsid w:val="00A662A5"/>
    <w:rsid w:val="00A72245"/>
    <w:rsid w:val="00A85CC6"/>
    <w:rsid w:val="00AC4281"/>
    <w:rsid w:val="00AD15EB"/>
    <w:rsid w:val="00AD2E98"/>
    <w:rsid w:val="00AD6860"/>
    <w:rsid w:val="00AF1C25"/>
    <w:rsid w:val="00B0358D"/>
    <w:rsid w:val="00B07259"/>
    <w:rsid w:val="00B11125"/>
    <w:rsid w:val="00B13AE9"/>
    <w:rsid w:val="00B46E79"/>
    <w:rsid w:val="00B7107F"/>
    <w:rsid w:val="00B721E3"/>
    <w:rsid w:val="00B72C1E"/>
    <w:rsid w:val="00B73154"/>
    <w:rsid w:val="00B776F7"/>
    <w:rsid w:val="00B949F1"/>
    <w:rsid w:val="00BB0060"/>
    <w:rsid w:val="00BC0E31"/>
    <w:rsid w:val="00BD173F"/>
    <w:rsid w:val="00BF2298"/>
    <w:rsid w:val="00C15B04"/>
    <w:rsid w:val="00C20B8D"/>
    <w:rsid w:val="00C2508B"/>
    <w:rsid w:val="00C269F5"/>
    <w:rsid w:val="00C304C8"/>
    <w:rsid w:val="00C30E6F"/>
    <w:rsid w:val="00C34F3A"/>
    <w:rsid w:val="00C61850"/>
    <w:rsid w:val="00C86ADE"/>
    <w:rsid w:val="00C86C06"/>
    <w:rsid w:val="00C92213"/>
    <w:rsid w:val="00CA458F"/>
    <w:rsid w:val="00CA5B35"/>
    <w:rsid w:val="00CB6801"/>
    <w:rsid w:val="00CB7B58"/>
    <w:rsid w:val="00CD55DB"/>
    <w:rsid w:val="00CF2F5B"/>
    <w:rsid w:val="00D16415"/>
    <w:rsid w:val="00D22538"/>
    <w:rsid w:val="00D343F4"/>
    <w:rsid w:val="00D37DCE"/>
    <w:rsid w:val="00D41A64"/>
    <w:rsid w:val="00D432C6"/>
    <w:rsid w:val="00D6062A"/>
    <w:rsid w:val="00D709FA"/>
    <w:rsid w:val="00D72479"/>
    <w:rsid w:val="00D94866"/>
    <w:rsid w:val="00DA3CCB"/>
    <w:rsid w:val="00DC575F"/>
    <w:rsid w:val="00DF0467"/>
    <w:rsid w:val="00E20BF8"/>
    <w:rsid w:val="00E20F26"/>
    <w:rsid w:val="00E22FF0"/>
    <w:rsid w:val="00E33E39"/>
    <w:rsid w:val="00E36741"/>
    <w:rsid w:val="00E65480"/>
    <w:rsid w:val="00E77B37"/>
    <w:rsid w:val="00E96B0B"/>
    <w:rsid w:val="00EB48C0"/>
    <w:rsid w:val="00EB63CD"/>
    <w:rsid w:val="00EB7CB3"/>
    <w:rsid w:val="00EC68E0"/>
    <w:rsid w:val="00ED6138"/>
    <w:rsid w:val="00EE22C3"/>
    <w:rsid w:val="00F0198C"/>
    <w:rsid w:val="00F248C1"/>
    <w:rsid w:val="00F7155F"/>
    <w:rsid w:val="00F75834"/>
    <w:rsid w:val="00F777FA"/>
    <w:rsid w:val="00F80CAD"/>
    <w:rsid w:val="00F91CE2"/>
    <w:rsid w:val="00FA4EF7"/>
    <w:rsid w:val="00FA5469"/>
    <w:rsid w:val="00FB342D"/>
    <w:rsid w:val="00FB715F"/>
    <w:rsid w:val="00FE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22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2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95224"/>
    <w:rPr>
      <w:rFonts w:ascii="Century Schoolbook" w:eastAsia="Times New Roman" w:hAnsi="Century Schoolbook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952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5224"/>
    <w:rPr>
      <w:rFonts w:ascii="Century Schoolbook" w:eastAsia="Times New Roman" w:hAnsi="Century Schoolbook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99522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99522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95224"/>
    <w:rPr>
      <w:rFonts w:ascii="Century Schoolbook" w:eastAsia="Times New Roman" w:hAnsi="Century Schoolbook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99522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2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22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D2253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C34F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vehzgA3z9Gegff22PLU2UjU4stQ=</DigestValue>
    </Reference>
    <Reference URI="#idOfficeObject" Type="http://www.w3.org/2000/09/xmldsig#Object">
      <DigestMethod Algorithm="http://www.w3.org/2000/09/xmldsig#sha1"/>
      <DigestValue>7GvSvp0ArLcxaqX0pykYkah/jt0=</DigestValue>
    </Reference>
  </SignedInfo>
  <SignatureValue>
    F69WULAtEf0UlnN5aNsEWmSU645DmNcePKytTQQICSpkGuJyTVoHLo3mxywnkOK8DkobpPW3
    hOlOK7lgzUOPlQxfQHRmyoDKcN3sK0Xkt1pqUItnsQ3bPi25eDNDH9ifMlFg5bWUbPLkLlTn
    qAfTnVv6OlLmm4NS7SMyxp2kqyfDiq12y0zDQN5zDRzlcyLT9+VfgRKFhCMQ5jMk/0gw0PAZ
    zLx8zyQn9RSsAg/A3DnFQ9C3LSw4+Lk7zIFoNEzSCbbe7eB+jtqUqr3t1RUgowu9gJ4XPGpy
    HjWm9cl5anPE6GN4B83Aoc7GGwWRFKks+XfhO8NhQUrG9qZz43nh6g==
  </SignatureValue>
  <KeyInfo>
    <KeyValue>
      <RSAKeyValue>
        <Modulus>
            vyTq8+dSDT1AstL7zRvdOkO5IoKLWUzm4PIMnDNLDLEnsijevlOyyDpB0s2QFS3WII16rs2R
            nsjJvRPs2CxZNX8nuzWc7orkXCgqK0HCSM4zH2uMdy2KQPNtKhS07LTj1oACSDG/ZfNLM6WG
            amenECCvRMPtTmSYTEyQ5CVszac4V1q4sqXOvqrwkknPJ2q2l1eGMS9kERXcR1/HstCMezTc
            Kwe41xexiLd5PRmm/utT6K5jvGQwoOWS8+EFB1k9yV5ktPaOncqHCMyjrRal8sNVZRVmOljl
            Gt5NW5Oaqu5SpSu9zVAAWJhSt8hJ8cAguFfLxwMcrwK7v+0wcgJ1sQ==
          </Modulus>
        <Exponent>AQAB</Exponent>
      </RSAKeyValue>
    </KeyValue>
    <X509Data>
      <X509Certificate>
          MIIH9DCCBdygAwIBAgIQapNWh4nYogCjnlFz3+p1WDANBgkqhkiG9w0BAQsFADB3MQswCQYD
          VQQGEwJCUjETMBEGA1UEChMKSUNQLUJyYXNpbDE2MDQGA1UECxMtU2VjcmV0YXJpYSBkYSBS
          ZWNlaXRhIEZlZGVyYWwgZG8gQnJhc2lsIC0gUkZCMRswGQYDVQQDExJBQyBQUk9ERU1HRSBS
          RkIgRzMwHhcNMTIwNjI5MDAwMDAwWhcNMTUwNjI4MjM1OTU5WjCB6DELMAkGA1UEBhMCQlIx
          EzARBgNVBAoUCklDUC1CcmFzaWwxNjA0BgNVBAsULVNlY3JldGFyaWEgZGEgUmVjZWl0YSBG
          ZWRlcmFsIGRvIEJyYXNpbCAtIFJGQjEVMBMGA1UECxQMUkZCIGUtQ1BGIEEzMRQwEgYDVQQL
          FAsoRU0gQlJBTkNPKTEhMB8GA1UECxQYQXV0ZW50aWNhZG8gcG9yIFBST0RFTUdFMTwwOgYD
          VQQDEzNTQVJBIE1FSU5CRVJHIFNDSE1JRFQgREUgQU5EUkFERSBEVUFSVEU6MDAwNzgzNjQ2
          NTUwggEiMA0GCSqGSIb3DQEBAQUAA4IBDwAwggEKAoIBAQC/JOrz51INPUCy0vvNG906Q7ki
          gotZTObg8gycM0sMsSeyKN6+U7LIOkHSzZAVLdYgjXquzZGeyMm9E+zYLFk1fye7NZzuiuRc
          KCorQcJIzjMfa4x3LYpA820qFLTstOPWgAJIMb9l80szpYZqZ6cQIK9Ew+1OZJhMTJDkJWzN
          pzhXWriypc6+qvCSSc8naraXV4YxL2QRFdxHX8ey0Ix7NNwrB7jXF7GIt3k9Gab+61PormO8
          ZDCg5ZLz4QUHWT3JXmS09o6dyocIzKOtFqXyw1VlFWY6WOUa3k1bk5qq7lKlK73NUABYmFK3
          yEnxwCC4V8vHAxyvAru/7TByAnWxAgMBAAGjggMIMIIDBDCBoAYDVR0RBIGYMIGVoD0GBWBM
          AQMBoDQEMjEwMTIxOTczMDAwNzgzNjQ2NTUwMDAwMDAwMDAwMDAwMDAwME1HNjQwMjI1NlNT
          UE1HoBcGBWBMAQMGoA4EDDAwMDAwMDAwMDAwMKAeBgVgTAEDBaAVBBMwMDAwMDAwMDAwMDAw
          MDAwMDAwgRtzYXJhLm1laW5iZXJnQG1wYy5tZy5nb3YuYnIwCQYDVR0TBAIwADAfBgNVHSME
          GDAWgBTUhARBL7QuQTXs74g60UzBbguQVDAOBgNVHQ8BAf8EBAMCBeAwfQYDVR0gBHYwdDBy
          BgZgTAECAxQwaDBmBggrBgEFBQcCARZaaHR0cDovL2ljcC1icmFzaWwuY2VydGlzaWduLmNv
          bS5ici9yZXBvc2l0b3Jpby9kcGMvQUNfUFJPREVNR0VfUkZCL0RQQ19BQ19QUk9ERU1HRV9S
          RkIucGRmMIIBEwYDVR0fBIIBCjCCAQYwVqBUoFKGUGh0dHA6Ly9pY3AtYnJhc2lsLmNlcnRp
          c2lnbi5jb20uYnIvcmVwb3NpdG9yaW8vbGNyL0FDUFJPREVNR0VSRkJHMy9MYXRlc3RDUkwu
          Y3JsMFWgU6BRhk9odHRwOi8vaWNwLWJyYXNpbC5vdXRyYWxjci5jb20uYnIvcmVwb3NpdG9y
          aW8vbGNyL0FDUFJPREVNR0VSRkJHMy9MYXRlc3RDUkwuY3JsMFWgU6BRhk9odHRwOi8vcmVw
          b3NpdG9yaW8uaWNwYnJhc2lsLmdvdi5ici9sY3IvQ2VydGlzaWduL0FDUFJPREVNR0VSRkJH
          My9MYXRlc3RDUkwuY3JsMB0GA1UdJQQWMBQGCCsGAQUFBwMCBggrBgEFBQcDBDBuBggrBgEF
          BQcBAQRiMGAwXgYIKwYBBQUHMAKGUmh0dHA6Ly9pY3AtYnJhc2lsLmNlcnRpc2lnbi5jb20u
          YnIvcmVwb3NpdG9yaW8vY2VydGlmaWNhZG9zL0FDX1BST0RFTUdFX1JGQl9HMy5wN2MwDQYJ
          KoZIhvcNAQELBQADggIBABOcyIR/bCy9ZyEUkqfwCx91OpZs/j3io4WOlj0d6v7m+thzqIFS
          JXysCit8QvpGhe0hOMlYb/lqn4ZiQl+n60/X1wuPIP6+ZLzyykbLBHQ22lStQ2xO9MoLUwym
          spgtoXiUMn2CW9HwhfvIvl/EikyN2StVarH2kmyEdMiciIwWXC18VxH2a0Z3+bciSEoFAxJb
          1s4shxqq/EbO/J1yCGO0tvXZvMTu23cTJm8msBGiDBdFG/ITbLOJbgtO6F9Zmg0gS2SE1fL6
          zVgaJICpaNdhRWYCOfphI+AmbVQhdx9msiT/DJE6XeN+tM9dZcpt6G+4WWeFomH3FwyHKQ2T
          ZFEUnxDOc4Xkg3wPDsl+xlHMrQOFFOgbN1SmFmcN+C3L1atDUk3EysxsSDoz8cDgrUJJ/mxW
          CqzUl8v6gqfTjj/da3iJU4sANBE0rlY9J8O4kD1C/Du/fE7Bj7N6CAsrVXSPmkZYXVi5PX8m
          C7t0pm1wwXku3Q93PrVmEtwiwLB1/KjQbF+/MFHDpySvs5SGcGHvF7Cb5i4NHhEhULFR4Yjq
          WSHf6sRKSAQiQgVTbPrKYqGiR/jdeSJML8AQZvqDds3YMwll9IOAlXj4OlkZatqa1BT7PatV
          a6m/A6KK8EIzrhOtJBkPjjwj0DjtxWs9GC2ADLrYzKsLIL5qRKm6kMs+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document.xml?ContentType=application/vnd.openxmlformats-officedocument.wordprocessingml.document.main+xml">
        <DigestMethod Algorithm="http://www.w3.org/2000/09/xmldsig#sha1"/>
        <DigestValue>Srt49KrpWxWh83l4v4W1+osMRjc=</DigestValue>
      </Reference>
      <Reference URI="/word/endnotes.xml?ContentType=application/vnd.openxmlformats-officedocument.wordprocessingml.endnotes+xml">
        <DigestMethod Algorithm="http://www.w3.org/2000/09/xmldsig#sha1"/>
        <DigestValue>TuiDeMKK/cW6m4ZajEkpCRe3chc=</DigestValue>
      </Reference>
      <Reference URI="/word/fontTable.xml?ContentType=application/vnd.openxmlformats-officedocument.wordprocessingml.fontTable+xml">
        <DigestMethod Algorithm="http://www.w3.org/2000/09/xmldsig#sha1"/>
        <DigestValue>pHY6Qc0PuV33MyYqLiinpB+4oxQ=</DigestValue>
      </Reference>
      <Reference URI="/word/footer1.xml?ContentType=application/vnd.openxmlformats-officedocument.wordprocessingml.footer+xml">
        <DigestMethod Algorithm="http://www.w3.org/2000/09/xmldsig#sha1"/>
        <DigestValue>/L3P9iE/c27jP2MaWY/9WLqijQ8=</DigestValue>
      </Reference>
      <Reference URI="/word/footnotes.xml?ContentType=application/vnd.openxmlformats-officedocument.wordprocessingml.footnotes+xml">
        <DigestMethod Algorithm="http://www.w3.org/2000/09/xmldsig#sha1"/>
        <DigestValue>42LKfoOjhZmFql9b3uJlzvL5HeI=</DigestValue>
      </Reference>
      <Reference URI="/word/header1.xml?ContentType=application/vnd.openxmlformats-officedocument.wordprocessingml.header+xml">
        <DigestMethod Algorithm="http://www.w3.org/2000/09/xmldsig#sha1"/>
        <DigestValue>VwQ0ZpcS4xCpyKAN7sLZMIHBbJU=</DigestValue>
      </Reference>
      <Reference URI="/word/media/image1.png?ContentType=image/png">
        <DigestMethod Algorithm="http://www.w3.org/2000/09/xmldsig#sha1"/>
        <DigestValue>Ffn0upG9m/nkYgXm1wbBRzqhG84=</DigestValue>
      </Reference>
      <Reference URI="/word/numbering.xml?ContentType=application/vnd.openxmlformats-officedocument.wordprocessingml.numbering+xml">
        <DigestMethod Algorithm="http://www.w3.org/2000/09/xmldsig#sha1"/>
        <DigestValue>U0yOanzWdrgKMSpm2XAiv4KVJjA=</DigestValue>
      </Reference>
      <Reference URI="/word/settings.xml?ContentType=application/vnd.openxmlformats-officedocument.wordprocessingml.settings+xml">
        <DigestMethod Algorithm="http://www.w3.org/2000/09/xmldsig#sha1"/>
        <DigestValue>E2ZleH1+LM4H5YiK2MpnxgORRdo=</DigestValue>
      </Reference>
      <Reference URI="/word/styles.xml?ContentType=application/vnd.openxmlformats-officedocument.wordprocessingml.styles+xml">
        <DigestMethod Algorithm="http://www.w3.org/2000/09/xmldsig#sha1"/>
        <DigestValue>rTrDeAhYCLrHGxhqLJxHZ/s1tTE=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bNRZ3C1s9bFstLeN3I1aTndjh4Y=</DigestValue>
      </Reference>
    </Manifest>
    <SignatureProperties>
      <SignatureProperty Id="idSignatureTime" Target="#idPackageSignature">
        <mdssi:SignatureTime>
          <mdssi:Format>YYYY-MM-DDThh:mm:ssTZD</mdssi:Format>
          <mdssi:Value>2015-03-27T11:59:45Z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35157-B9D2-469D-8E33-283524E7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3742</Words>
  <Characters>20208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mbalves</dc:creator>
  <cp:lastModifiedBy>helbert.silva</cp:lastModifiedBy>
  <cp:revision>2</cp:revision>
  <dcterms:created xsi:type="dcterms:W3CDTF">2016-05-31T18:56:00Z</dcterms:created>
  <dcterms:modified xsi:type="dcterms:W3CDTF">2016-05-31T18:56:00Z</dcterms:modified>
</cp:coreProperties>
</file>