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6" w:type="dxa"/>
        <w:tblInd w:w="-50" w:type="dxa"/>
        <w:tblLayout w:type="fixed"/>
        <w:tblCellMar>
          <w:left w:w="70" w:type="dxa"/>
          <w:right w:w="70" w:type="dxa"/>
        </w:tblCellMar>
        <w:tblLook w:val="0000"/>
      </w:tblPr>
      <w:tblGrid>
        <w:gridCol w:w="2160"/>
        <w:gridCol w:w="7316"/>
      </w:tblGrid>
      <w:tr w:rsidR="007C5B21" w:rsidRPr="005A711E" w:rsidTr="00D05A87">
        <w:tc>
          <w:tcPr>
            <w:tcW w:w="2160" w:type="dxa"/>
          </w:tcPr>
          <w:p w:rsidR="007C5B21" w:rsidRPr="005A711E" w:rsidRDefault="007C5B21" w:rsidP="00D05A87">
            <w:pPr>
              <w:spacing w:before="120" w:after="120"/>
              <w:jc w:val="both"/>
              <w:rPr>
                <w:rFonts w:ascii="Arial" w:hAnsi="Arial" w:cs="Arial"/>
                <w:b/>
              </w:rPr>
            </w:pPr>
            <w:r w:rsidRPr="005A711E">
              <w:rPr>
                <w:rFonts w:ascii="Arial" w:hAnsi="Arial" w:cs="Arial"/>
                <w:b/>
              </w:rPr>
              <w:t>Processo nº:</w:t>
            </w:r>
          </w:p>
        </w:tc>
        <w:tc>
          <w:tcPr>
            <w:tcW w:w="7316" w:type="dxa"/>
          </w:tcPr>
          <w:p w:rsidR="007C5B21" w:rsidRPr="005A711E" w:rsidRDefault="00FF7433" w:rsidP="00D05A87">
            <w:pPr>
              <w:spacing w:before="120" w:after="120"/>
              <w:jc w:val="both"/>
              <w:rPr>
                <w:rFonts w:ascii="Arial" w:hAnsi="Arial" w:cs="Arial"/>
              </w:rPr>
            </w:pPr>
            <w:r>
              <w:rPr>
                <w:rFonts w:ascii="Arial" w:hAnsi="Arial" w:cs="Arial"/>
              </w:rPr>
              <w:t>896.389</w:t>
            </w:r>
          </w:p>
        </w:tc>
      </w:tr>
      <w:tr w:rsidR="007C5B21" w:rsidRPr="005A711E" w:rsidTr="00D05A87">
        <w:tc>
          <w:tcPr>
            <w:tcW w:w="2160" w:type="dxa"/>
          </w:tcPr>
          <w:p w:rsidR="007C5B21" w:rsidRPr="005A711E" w:rsidRDefault="007C5B21" w:rsidP="00D05A87">
            <w:pPr>
              <w:spacing w:before="120" w:after="120"/>
              <w:jc w:val="both"/>
              <w:rPr>
                <w:rFonts w:ascii="Arial" w:hAnsi="Arial" w:cs="Arial"/>
                <w:b/>
              </w:rPr>
            </w:pPr>
            <w:r w:rsidRPr="005A711E">
              <w:rPr>
                <w:rFonts w:ascii="Arial" w:hAnsi="Arial" w:cs="Arial"/>
                <w:b/>
              </w:rPr>
              <w:t>Natureza:</w:t>
            </w:r>
          </w:p>
        </w:tc>
        <w:tc>
          <w:tcPr>
            <w:tcW w:w="7316" w:type="dxa"/>
          </w:tcPr>
          <w:p w:rsidR="00D05A87" w:rsidRPr="005A711E" w:rsidRDefault="00FF7433" w:rsidP="00D05A87">
            <w:pPr>
              <w:spacing w:before="120" w:after="120"/>
              <w:jc w:val="both"/>
              <w:rPr>
                <w:rFonts w:ascii="Arial" w:hAnsi="Arial" w:cs="Arial"/>
              </w:rPr>
            </w:pPr>
            <w:r>
              <w:rPr>
                <w:rFonts w:ascii="Arial" w:hAnsi="Arial" w:cs="Arial"/>
              </w:rPr>
              <w:t>Edital de Licitação</w:t>
            </w:r>
          </w:p>
        </w:tc>
      </w:tr>
      <w:tr w:rsidR="00D05A87" w:rsidRPr="005A711E" w:rsidTr="00D05A87">
        <w:tc>
          <w:tcPr>
            <w:tcW w:w="2160" w:type="dxa"/>
          </w:tcPr>
          <w:p w:rsidR="00D05A87" w:rsidRPr="005A711E" w:rsidRDefault="00FF7433" w:rsidP="00D05A87">
            <w:pPr>
              <w:spacing w:before="120" w:after="120"/>
              <w:jc w:val="both"/>
              <w:rPr>
                <w:rFonts w:ascii="Arial" w:hAnsi="Arial" w:cs="Arial"/>
                <w:b/>
              </w:rPr>
            </w:pPr>
            <w:r>
              <w:rPr>
                <w:rFonts w:ascii="Arial" w:hAnsi="Arial" w:cs="Arial"/>
                <w:b/>
              </w:rPr>
              <w:t>Apenso</w:t>
            </w:r>
            <w:r w:rsidR="00D05A87">
              <w:rPr>
                <w:rFonts w:ascii="Arial" w:hAnsi="Arial" w:cs="Arial"/>
                <w:b/>
              </w:rPr>
              <w:t>:</w:t>
            </w:r>
          </w:p>
        </w:tc>
        <w:tc>
          <w:tcPr>
            <w:tcW w:w="7316" w:type="dxa"/>
          </w:tcPr>
          <w:p w:rsidR="00D05A87" w:rsidRDefault="00FF7433" w:rsidP="00D05A87">
            <w:pPr>
              <w:spacing w:before="120" w:after="120"/>
              <w:jc w:val="both"/>
              <w:rPr>
                <w:rFonts w:ascii="Arial" w:hAnsi="Arial" w:cs="Arial"/>
              </w:rPr>
            </w:pPr>
            <w:r>
              <w:rPr>
                <w:rFonts w:ascii="Arial" w:hAnsi="Arial" w:cs="Arial"/>
              </w:rPr>
              <w:t>Denúncia nº 886.562</w:t>
            </w:r>
          </w:p>
        </w:tc>
      </w:tr>
      <w:tr w:rsidR="007C5B21" w:rsidRPr="005A711E" w:rsidTr="00D05A87">
        <w:tc>
          <w:tcPr>
            <w:tcW w:w="2160" w:type="dxa"/>
          </w:tcPr>
          <w:p w:rsidR="007C5B21" w:rsidRPr="005A711E" w:rsidRDefault="007C5B21" w:rsidP="00D05A87">
            <w:pPr>
              <w:spacing w:before="120" w:after="120"/>
              <w:jc w:val="both"/>
              <w:rPr>
                <w:rFonts w:ascii="Arial" w:hAnsi="Arial" w:cs="Arial"/>
                <w:b/>
              </w:rPr>
            </w:pPr>
            <w:r w:rsidRPr="005A711E">
              <w:rPr>
                <w:rFonts w:ascii="Arial" w:hAnsi="Arial" w:cs="Arial"/>
                <w:b/>
              </w:rPr>
              <w:t xml:space="preserve">Jurisdicionado: </w:t>
            </w:r>
          </w:p>
        </w:tc>
        <w:tc>
          <w:tcPr>
            <w:tcW w:w="7316" w:type="dxa"/>
          </w:tcPr>
          <w:p w:rsidR="007C5B21" w:rsidRPr="005A711E" w:rsidRDefault="00FF7433" w:rsidP="00D05A87">
            <w:pPr>
              <w:tabs>
                <w:tab w:val="right" w:pos="6923"/>
              </w:tabs>
              <w:spacing w:before="120" w:after="120"/>
              <w:jc w:val="both"/>
              <w:rPr>
                <w:rFonts w:ascii="Arial" w:hAnsi="Arial" w:cs="Arial"/>
              </w:rPr>
            </w:pPr>
            <w:r>
              <w:rPr>
                <w:rFonts w:ascii="Arial" w:hAnsi="Arial" w:cs="Arial"/>
              </w:rPr>
              <w:t>Poder Executivo do Município de Pedro Teixeira</w:t>
            </w:r>
          </w:p>
        </w:tc>
      </w:tr>
      <w:tr w:rsidR="007C5B21" w:rsidRPr="005A711E" w:rsidTr="00D05A87">
        <w:tc>
          <w:tcPr>
            <w:tcW w:w="2160" w:type="dxa"/>
          </w:tcPr>
          <w:p w:rsidR="007C5B21" w:rsidRPr="005A711E" w:rsidRDefault="007C5B21" w:rsidP="00D05A87">
            <w:pPr>
              <w:spacing w:before="120" w:after="120"/>
              <w:jc w:val="both"/>
              <w:rPr>
                <w:rFonts w:ascii="Arial" w:hAnsi="Arial" w:cs="Arial"/>
                <w:b/>
              </w:rPr>
            </w:pPr>
            <w:r w:rsidRPr="005A711E">
              <w:rPr>
                <w:rFonts w:ascii="Arial" w:hAnsi="Arial" w:cs="Arial"/>
                <w:b/>
              </w:rPr>
              <w:t xml:space="preserve">Relator: </w:t>
            </w:r>
          </w:p>
        </w:tc>
        <w:tc>
          <w:tcPr>
            <w:tcW w:w="7316" w:type="dxa"/>
          </w:tcPr>
          <w:p w:rsidR="007C5B21" w:rsidRPr="005A711E" w:rsidRDefault="007C5B21" w:rsidP="00FF7433">
            <w:pPr>
              <w:tabs>
                <w:tab w:val="right" w:pos="6923"/>
              </w:tabs>
              <w:spacing w:before="120" w:after="120"/>
              <w:jc w:val="both"/>
              <w:rPr>
                <w:rFonts w:ascii="Arial" w:hAnsi="Arial" w:cs="Arial"/>
              </w:rPr>
            </w:pPr>
            <w:r w:rsidRPr="005A711E">
              <w:rPr>
                <w:rFonts w:ascii="Arial" w:hAnsi="Arial" w:cs="Arial"/>
              </w:rPr>
              <w:t>Conselheir</w:t>
            </w:r>
            <w:r w:rsidR="00FF7433">
              <w:rPr>
                <w:rFonts w:ascii="Arial" w:hAnsi="Arial" w:cs="Arial"/>
              </w:rPr>
              <w:t>o</w:t>
            </w:r>
            <w:r w:rsidR="00D05A87">
              <w:rPr>
                <w:rFonts w:ascii="Arial" w:hAnsi="Arial" w:cs="Arial"/>
              </w:rPr>
              <w:t xml:space="preserve"> </w:t>
            </w:r>
            <w:r w:rsidR="00FF7433">
              <w:rPr>
                <w:rFonts w:ascii="Arial" w:hAnsi="Arial" w:cs="Arial"/>
              </w:rPr>
              <w:t>Mauri Torres</w:t>
            </w:r>
          </w:p>
        </w:tc>
      </w:tr>
    </w:tbl>
    <w:p w:rsidR="007C5B21" w:rsidRPr="005A711E" w:rsidRDefault="007C5B21" w:rsidP="007C5B21">
      <w:pPr>
        <w:spacing w:after="200" w:line="360" w:lineRule="auto"/>
        <w:jc w:val="center"/>
        <w:rPr>
          <w:rFonts w:ascii="Arial" w:hAnsi="Arial" w:cs="Arial"/>
          <w:b/>
          <w:u w:val="single"/>
        </w:rPr>
      </w:pPr>
    </w:p>
    <w:p w:rsidR="007C5B21" w:rsidRPr="00F90A52" w:rsidRDefault="00FF7433" w:rsidP="007C5B21">
      <w:pPr>
        <w:spacing w:after="200" w:line="360" w:lineRule="auto"/>
        <w:jc w:val="center"/>
        <w:rPr>
          <w:rFonts w:ascii="Arial" w:hAnsi="Arial" w:cs="Arial"/>
          <w:b/>
          <w:strike/>
          <w:u w:val="single"/>
        </w:rPr>
      </w:pPr>
      <w:r>
        <w:rPr>
          <w:rFonts w:ascii="Arial" w:hAnsi="Arial" w:cs="Arial"/>
          <w:b/>
          <w:u w:val="single"/>
        </w:rPr>
        <w:t>MANIFESTAÇÃO PRELIMINAR</w:t>
      </w:r>
    </w:p>
    <w:p w:rsidR="007C5B21" w:rsidRPr="005A711E" w:rsidRDefault="007C5B21" w:rsidP="007C5B21">
      <w:pPr>
        <w:spacing w:after="200" w:line="360" w:lineRule="auto"/>
        <w:jc w:val="both"/>
        <w:rPr>
          <w:rFonts w:ascii="Arial" w:hAnsi="Arial" w:cs="Arial"/>
        </w:rPr>
      </w:pPr>
    </w:p>
    <w:p w:rsidR="007C5B21" w:rsidRPr="005A711E" w:rsidRDefault="00FF7433" w:rsidP="007C5B21">
      <w:pPr>
        <w:spacing w:after="200" w:line="360" w:lineRule="auto"/>
        <w:jc w:val="both"/>
        <w:rPr>
          <w:rFonts w:ascii="Arial" w:hAnsi="Arial" w:cs="Arial"/>
        </w:rPr>
      </w:pPr>
      <w:r>
        <w:rPr>
          <w:rFonts w:ascii="Arial" w:hAnsi="Arial" w:cs="Arial"/>
        </w:rPr>
        <w:t>Excelentíssimo</w:t>
      </w:r>
      <w:r w:rsidR="007C5B21" w:rsidRPr="005A711E">
        <w:rPr>
          <w:rFonts w:ascii="Arial" w:hAnsi="Arial" w:cs="Arial"/>
        </w:rPr>
        <w:t xml:space="preserve"> Senhor Relator, </w:t>
      </w:r>
    </w:p>
    <w:p w:rsidR="007C5B21" w:rsidRPr="007C5B21" w:rsidRDefault="007C5B21" w:rsidP="007C5B21">
      <w:pPr>
        <w:tabs>
          <w:tab w:val="left" w:pos="1418"/>
        </w:tabs>
        <w:spacing w:after="200" w:line="360" w:lineRule="auto"/>
        <w:jc w:val="both"/>
        <w:rPr>
          <w:rFonts w:ascii="Arial" w:hAnsi="Arial" w:cs="Arial"/>
        </w:rPr>
      </w:pPr>
    </w:p>
    <w:p w:rsidR="008B06A8" w:rsidRDefault="007C5B21" w:rsidP="007C5B21">
      <w:pPr>
        <w:numPr>
          <w:ilvl w:val="0"/>
          <w:numId w:val="1"/>
        </w:numPr>
        <w:tabs>
          <w:tab w:val="clear" w:pos="2808"/>
          <w:tab w:val="left" w:pos="1418"/>
        </w:tabs>
        <w:spacing w:after="200" w:line="360" w:lineRule="auto"/>
        <w:ind w:left="0" w:firstLine="0"/>
        <w:jc w:val="both"/>
        <w:rPr>
          <w:rFonts w:ascii="Arial" w:hAnsi="Arial" w:cs="Arial"/>
        </w:rPr>
      </w:pPr>
      <w:r w:rsidRPr="00301ED9">
        <w:rPr>
          <w:rFonts w:ascii="Arial" w:hAnsi="Arial" w:cs="Arial"/>
        </w:rPr>
        <w:t>Trata</w:t>
      </w:r>
      <w:r w:rsidR="008B06A8">
        <w:rPr>
          <w:rFonts w:ascii="Arial" w:hAnsi="Arial" w:cs="Arial"/>
        </w:rPr>
        <w:t>m os autos do edital de Convite nº 05/2013, deflagrado pela Prefeitura Municipal de Pedro Teixeira, cujo objeto consiste na contratação de serviços advocatícios</w:t>
      </w:r>
      <w:r w:rsidR="00730A95">
        <w:rPr>
          <w:rFonts w:ascii="Arial" w:hAnsi="Arial" w:cs="Arial"/>
        </w:rPr>
        <w:t xml:space="preserve"> nas áreas de direito público e de licitações e contratos públicos, </w:t>
      </w:r>
      <w:r w:rsidR="008B06A8">
        <w:rPr>
          <w:rFonts w:ascii="Arial" w:hAnsi="Arial" w:cs="Arial"/>
        </w:rPr>
        <w:t>encaminhado a esta Corte por força da determinação da Segunda Câmara no bojo da Denúncia nº 886.562</w:t>
      </w:r>
      <w:r w:rsidR="00730A95">
        <w:rPr>
          <w:rFonts w:ascii="Arial" w:hAnsi="Arial" w:cs="Arial"/>
        </w:rPr>
        <w:t>.</w:t>
      </w:r>
    </w:p>
    <w:p w:rsidR="009474F6" w:rsidRDefault="00730A95" w:rsidP="007C5B21">
      <w:pPr>
        <w:numPr>
          <w:ilvl w:val="0"/>
          <w:numId w:val="1"/>
        </w:numPr>
        <w:tabs>
          <w:tab w:val="clear" w:pos="2808"/>
          <w:tab w:val="left" w:pos="1418"/>
        </w:tabs>
        <w:spacing w:after="200" w:line="360" w:lineRule="auto"/>
        <w:ind w:left="0" w:firstLine="0"/>
        <w:jc w:val="both"/>
        <w:rPr>
          <w:rFonts w:ascii="Arial" w:hAnsi="Arial" w:cs="Arial"/>
        </w:rPr>
      </w:pPr>
      <w:r>
        <w:rPr>
          <w:rFonts w:ascii="Arial" w:hAnsi="Arial" w:cs="Arial"/>
        </w:rPr>
        <w:t>O Edital de Licitação foi distribuído à fl. 47 e apensado àquela Denúncia à fl. 48.</w:t>
      </w:r>
    </w:p>
    <w:p w:rsidR="00730A95" w:rsidRDefault="00730A95" w:rsidP="007C5B21">
      <w:pPr>
        <w:numPr>
          <w:ilvl w:val="0"/>
          <w:numId w:val="1"/>
        </w:numPr>
        <w:tabs>
          <w:tab w:val="clear" w:pos="2808"/>
          <w:tab w:val="left" w:pos="1418"/>
        </w:tabs>
        <w:spacing w:after="200" w:line="360" w:lineRule="auto"/>
        <w:ind w:left="0" w:firstLine="0"/>
        <w:jc w:val="both"/>
        <w:rPr>
          <w:rFonts w:ascii="Arial" w:hAnsi="Arial" w:cs="Arial"/>
        </w:rPr>
      </w:pPr>
      <w:r>
        <w:rPr>
          <w:rFonts w:ascii="Arial" w:hAnsi="Arial" w:cs="Arial"/>
        </w:rPr>
        <w:t>A Coordenadoria de Análise de Editais de Licitação (CAEL) procedeu à análise preliminar às fls. 50/70</w:t>
      </w:r>
      <w:r w:rsidR="0005273C">
        <w:rPr>
          <w:rFonts w:ascii="Arial" w:hAnsi="Arial" w:cs="Arial"/>
        </w:rPr>
        <w:t>.</w:t>
      </w:r>
    </w:p>
    <w:p w:rsidR="0005273C" w:rsidRDefault="0005273C" w:rsidP="007C5B21">
      <w:pPr>
        <w:numPr>
          <w:ilvl w:val="0"/>
          <w:numId w:val="1"/>
        </w:numPr>
        <w:tabs>
          <w:tab w:val="clear" w:pos="2808"/>
          <w:tab w:val="left" w:pos="1418"/>
        </w:tabs>
        <w:spacing w:after="200" w:line="360" w:lineRule="auto"/>
        <w:ind w:left="0" w:firstLine="0"/>
        <w:jc w:val="both"/>
        <w:rPr>
          <w:rFonts w:ascii="Arial" w:hAnsi="Arial" w:cs="Arial"/>
        </w:rPr>
      </w:pPr>
      <w:r>
        <w:rPr>
          <w:rFonts w:ascii="Arial" w:hAnsi="Arial" w:cs="Arial"/>
        </w:rPr>
        <w:t>Às fls. 71/72, o Conselheiro Relator determinou a intimação dos responsáveis, para encaminhar a documentação relativa ao certame e para recomendar a abstenção da exigência relativa à regularidade perante a OAB e a promoção de concurso público para constituição de corpo de advogados.</w:t>
      </w:r>
    </w:p>
    <w:p w:rsidR="0005273C" w:rsidRPr="0005273C" w:rsidRDefault="0005273C" w:rsidP="0005273C">
      <w:pPr>
        <w:numPr>
          <w:ilvl w:val="0"/>
          <w:numId w:val="1"/>
        </w:numPr>
        <w:tabs>
          <w:tab w:val="clear" w:pos="2808"/>
          <w:tab w:val="left" w:pos="1418"/>
        </w:tabs>
        <w:spacing w:after="200" w:line="360" w:lineRule="auto"/>
        <w:ind w:left="0" w:firstLine="0"/>
        <w:jc w:val="both"/>
        <w:rPr>
          <w:rFonts w:ascii="Arial" w:hAnsi="Arial" w:cs="Arial"/>
        </w:rPr>
      </w:pPr>
      <w:r>
        <w:rPr>
          <w:rFonts w:ascii="Arial" w:hAnsi="Arial" w:cs="Arial"/>
        </w:rPr>
        <w:lastRenderedPageBreak/>
        <w:t>O Prefeito Municipal prestou as informações de fl. 76 e a Presidente da Comissão Permanente de Licitação enviou os documentos de fls. 84/467, que foram submetidos ao exame da CAEL às fls. 469/481.</w:t>
      </w:r>
    </w:p>
    <w:p w:rsidR="007C5B21" w:rsidRDefault="008B311D" w:rsidP="007C5B21">
      <w:pPr>
        <w:numPr>
          <w:ilvl w:val="0"/>
          <w:numId w:val="1"/>
        </w:numPr>
        <w:tabs>
          <w:tab w:val="clear" w:pos="2808"/>
          <w:tab w:val="left" w:pos="1418"/>
        </w:tabs>
        <w:spacing w:after="200" w:line="360" w:lineRule="auto"/>
        <w:ind w:left="0" w:firstLine="0"/>
        <w:jc w:val="both"/>
        <w:rPr>
          <w:rFonts w:ascii="Arial" w:hAnsi="Arial" w:cs="Arial"/>
        </w:rPr>
      </w:pPr>
      <w:r>
        <w:rPr>
          <w:rFonts w:ascii="Arial" w:hAnsi="Arial" w:cs="Arial"/>
        </w:rPr>
        <w:t>Ao final, v</w:t>
      </w:r>
      <w:r w:rsidR="007C5B21">
        <w:rPr>
          <w:rFonts w:ascii="Arial" w:hAnsi="Arial" w:cs="Arial"/>
        </w:rPr>
        <w:t>ieram os autos ao Ministério Público de Contas</w:t>
      </w:r>
      <w:r w:rsidR="004A4577">
        <w:rPr>
          <w:rFonts w:ascii="Arial" w:hAnsi="Arial" w:cs="Arial"/>
        </w:rPr>
        <w:t xml:space="preserve"> para manifestação</w:t>
      </w:r>
      <w:r w:rsidR="0005273C">
        <w:rPr>
          <w:rFonts w:ascii="Arial" w:hAnsi="Arial" w:cs="Arial"/>
        </w:rPr>
        <w:t xml:space="preserve"> preliminar</w:t>
      </w:r>
      <w:r w:rsidR="007C5B21">
        <w:rPr>
          <w:rFonts w:ascii="Arial" w:hAnsi="Arial" w:cs="Arial"/>
        </w:rPr>
        <w:t xml:space="preserve">. </w:t>
      </w:r>
    </w:p>
    <w:p w:rsidR="007C5B21" w:rsidRDefault="007C5B21" w:rsidP="007C5B21">
      <w:pPr>
        <w:numPr>
          <w:ilvl w:val="0"/>
          <w:numId w:val="1"/>
        </w:numPr>
        <w:tabs>
          <w:tab w:val="clear" w:pos="2808"/>
          <w:tab w:val="left" w:pos="1418"/>
        </w:tabs>
        <w:spacing w:after="200" w:line="360" w:lineRule="auto"/>
        <w:ind w:left="0" w:firstLine="0"/>
        <w:jc w:val="both"/>
        <w:rPr>
          <w:rFonts w:ascii="Arial" w:hAnsi="Arial" w:cs="Arial"/>
        </w:rPr>
      </w:pPr>
      <w:r>
        <w:rPr>
          <w:rFonts w:ascii="Arial" w:hAnsi="Arial" w:cs="Arial"/>
        </w:rPr>
        <w:t xml:space="preserve">É o </w:t>
      </w:r>
      <w:r w:rsidR="004A4577">
        <w:rPr>
          <w:rFonts w:ascii="Arial" w:hAnsi="Arial" w:cs="Arial"/>
        </w:rPr>
        <w:t xml:space="preserve">sucinto </w:t>
      </w:r>
      <w:r>
        <w:rPr>
          <w:rFonts w:ascii="Arial" w:hAnsi="Arial" w:cs="Arial"/>
        </w:rPr>
        <w:t>relatório.</w:t>
      </w:r>
    </w:p>
    <w:p w:rsidR="007C5B21" w:rsidRPr="00F9649B" w:rsidRDefault="007C5B21" w:rsidP="007C5B21">
      <w:pPr>
        <w:spacing w:after="200" w:line="360" w:lineRule="auto"/>
        <w:jc w:val="center"/>
        <w:rPr>
          <w:rFonts w:ascii="Arial" w:hAnsi="Arial" w:cs="Arial"/>
          <w:b/>
          <w:u w:val="single"/>
        </w:rPr>
      </w:pPr>
      <w:r w:rsidRPr="00F9649B">
        <w:rPr>
          <w:rFonts w:ascii="Arial" w:hAnsi="Arial" w:cs="Arial"/>
          <w:b/>
          <w:u w:val="single"/>
        </w:rPr>
        <w:t>FUNDAMENTAÇÃO</w:t>
      </w:r>
    </w:p>
    <w:p w:rsidR="0005273C" w:rsidRDefault="008F6F81" w:rsidP="007C5B21">
      <w:pPr>
        <w:numPr>
          <w:ilvl w:val="0"/>
          <w:numId w:val="1"/>
        </w:numPr>
        <w:tabs>
          <w:tab w:val="clear" w:pos="2808"/>
          <w:tab w:val="left" w:pos="1418"/>
        </w:tabs>
        <w:spacing w:after="200" w:line="360" w:lineRule="auto"/>
        <w:ind w:left="0" w:firstLine="0"/>
        <w:jc w:val="both"/>
        <w:rPr>
          <w:rFonts w:ascii="Arial" w:hAnsi="Arial" w:cs="Arial"/>
        </w:rPr>
      </w:pPr>
      <w:r w:rsidRPr="00F67142">
        <w:rPr>
          <w:rFonts w:ascii="Arial" w:hAnsi="Arial" w:cs="Arial"/>
        </w:rPr>
        <w:t>Observa-se dos autos que</w:t>
      </w:r>
      <w:r w:rsidR="00480DD7" w:rsidRPr="00F67142">
        <w:rPr>
          <w:rFonts w:ascii="Arial" w:hAnsi="Arial" w:cs="Arial"/>
        </w:rPr>
        <w:t xml:space="preserve"> </w:t>
      </w:r>
      <w:r w:rsidR="009C0C66">
        <w:rPr>
          <w:rFonts w:ascii="Arial" w:hAnsi="Arial" w:cs="Arial"/>
        </w:rPr>
        <w:t xml:space="preserve">o Município </w:t>
      </w:r>
      <w:r w:rsidR="00480DD7" w:rsidRPr="00F67142">
        <w:rPr>
          <w:rFonts w:ascii="Arial" w:hAnsi="Arial" w:cs="Arial"/>
        </w:rPr>
        <w:t xml:space="preserve">de Pedro Teixeira, em sucessão aos Pregões Presenciais nº 09/2013 e 10/2013, anulados após questionamentos desta Corte, deflagrou o Convite nº 05/2013, </w:t>
      </w:r>
      <w:r w:rsidR="008F6F02">
        <w:rPr>
          <w:rFonts w:ascii="Arial" w:hAnsi="Arial" w:cs="Arial"/>
        </w:rPr>
        <w:t xml:space="preserve">corrigindo as irregularidades </w:t>
      </w:r>
      <w:r w:rsidR="003A007C">
        <w:rPr>
          <w:rFonts w:ascii="Arial" w:hAnsi="Arial" w:cs="Arial"/>
        </w:rPr>
        <w:t xml:space="preserve">então </w:t>
      </w:r>
      <w:r w:rsidR="008F6F02">
        <w:rPr>
          <w:rFonts w:ascii="Arial" w:hAnsi="Arial" w:cs="Arial"/>
        </w:rPr>
        <w:t>apontadas pela CAEL</w:t>
      </w:r>
      <w:r w:rsidR="003A007C">
        <w:rPr>
          <w:rFonts w:ascii="Arial" w:hAnsi="Arial" w:cs="Arial"/>
        </w:rPr>
        <w:t>, acrescentando, porém, exigência de regularidade junto à OAB, que se afiguraria restritiva</w:t>
      </w:r>
      <w:r w:rsidR="00C974A8">
        <w:rPr>
          <w:rFonts w:ascii="Arial" w:hAnsi="Arial" w:cs="Arial"/>
        </w:rPr>
        <w:t xml:space="preserve"> sob a avaliação da Unidade Técnica</w:t>
      </w:r>
      <w:r w:rsidR="003A007C">
        <w:rPr>
          <w:rFonts w:ascii="Arial" w:hAnsi="Arial" w:cs="Arial"/>
        </w:rPr>
        <w:t>.</w:t>
      </w:r>
    </w:p>
    <w:p w:rsidR="003A007C" w:rsidRDefault="003A007C" w:rsidP="007C5B21">
      <w:pPr>
        <w:numPr>
          <w:ilvl w:val="0"/>
          <w:numId w:val="1"/>
        </w:numPr>
        <w:tabs>
          <w:tab w:val="clear" w:pos="2808"/>
          <w:tab w:val="left" w:pos="1418"/>
        </w:tabs>
        <w:spacing w:after="200" w:line="360" w:lineRule="auto"/>
        <w:ind w:left="0" w:firstLine="0"/>
        <w:jc w:val="both"/>
        <w:rPr>
          <w:rFonts w:ascii="Arial" w:hAnsi="Arial" w:cs="Arial"/>
        </w:rPr>
      </w:pPr>
      <w:r>
        <w:rPr>
          <w:rFonts w:ascii="Arial" w:hAnsi="Arial" w:cs="Arial"/>
        </w:rPr>
        <w:t>Intimado para complementar a instrução processual, o Prefeito Municipal informou que a mencionada licitação não alçou o número mínimo de licitantes, motivo pelo qual foi repetida, no bojo do mesmo procedimento, ocasião em que compareceram quatro interessados e o certame desenvolveu-se até a homologação.</w:t>
      </w:r>
    </w:p>
    <w:p w:rsidR="003A007C" w:rsidRDefault="00114E6D" w:rsidP="007C5B21">
      <w:pPr>
        <w:numPr>
          <w:ilvl w:val="0"/>
          <w:numId w:val="1"/>
        </w:numPr>
        <w:tabs>
          <w:tab w:val="clear" w:pos="2808"/>
          <w:tab w:val="left" w:pos="1418"/>
        </w:tabs>
        <w:spacing w:after="200" w:line="360" w:lineRule="auto"/>
        <w:ind w:left="0" w:firstLine="0"/>
        <w:jc w:val="both"/>
        <w:rPr>
          <w:rFonts w:ascii="Arial" w:hAnsi="Arial" w:cs="Arial"/>
        </w:rPr>
      </w:pPr>
      <w:r>
        <w:rPr>
          <w:rFonts w:ascii="Arial" w:hAnsi="Arial" w:cs="Arial"/>
        </w:rPr>
        <w:t>Em nova análise, a Unidade Técnica</w:t>
      </w:r>
      <w:r w:rsidR="00C974A8">
        <w:rPr>
          <w:rFonts w:ascii="Arial" w:hAnsi="Arial" w:cs="Arial"/>
        </w:rPr>
        <w:t xml:space="preserve"> destacou que, na repetição do Convite, foi excluída a exigência de regularidade junto à OAB, restando regularizados os apontamentos, sugerindo, ao final, a recomendação ao Prefeito Municipal para que adote medidas para a realização de concurso público para composição de corpo jurídico próprio de advogados do Município.</w:t>
      </w:r>
    </w:p>
    <w:p w:rsidR="003A007C" w:rsidRDefault="00AA4FAF" w:rsidP="007C5B21">
      <w:pPr>
        <w:numPr>
          <w:ilvl w:val="0"/>
          <w:numId w:val="1"/>
        </w:numPr>
        <w:tabs>
          <w:tab w:val="clear" w:pos="2808"/>
          <w:tab w:val="left" w:pos="1418"/>
        </w:tabs>
        <w:spacing w:after="200" w:line="360" w:lineRule="auto"/>
        <w:ind w:left="0" w:firstLine="0"/>
        <w:jc w:val="both"/>
        <w:rPr>
          <w:rFonts w:ascii="Arial" w:hAnsi="Arial" w:cs="Arial"/>
        </w:rPr>
      </w:pPr>
      <w:r>
        <w:rPr>
          <w:rFonts w:ascii="Arial" w:hAnsi="Arial" w:cs="Arial"/>
        </w:rPr>
        <w:t>Com efeito, entendemos, assim como a CAEL, que os apontamentos de outrora foram observados pelo gestor público na abertura da nova licitação.</w:t>
      </w:r>
    </w:p>
    <w:p w:rsidR="00A92E7B" w:rsidRPr="00AA4FAF" w:rsidRDefault="00AA4FAF" w:rsidP="007C5B21">
      <w:pPr>
        <w:numPr>
          <w:ilvl w:val="0"/>
          <w:numId w:val="1"/>
        </w:numPr>
        <w:tabs>
          <w:tab w:val="clear" w:pos="2808"/>
          <w:tab w:val="left" w:pos="1418"/>
        </w:tabs>
        <w:spacing w:after="200" w:line="360" w:lineRule="auto"/>
        <w:ind w:left="0" w:firstLine="0"/>
        <w:jc w:val="both"/>
        <w:rPr>
          <w:rFonts w:ascii="Arial" w:hAnsi="Arial" w:cs="Arial"/>
        </w:rPr>
      </w:pPr>
      <w:r w:rsidRPr="00AA4FAF">
        <w:rPr>
          <w:rFonts w:ascii="Arial" w:hAnsi="Arial" w:cs="Arial"/>
        </w:rPr>
        <w:t>Todavia, em nosso sentir, a recomendação por ela proposta encerra a identificação de irregularidade grave na justificativa p</w:t>
      </w:r>
      <w:r w:rsidR="00D30B9E">
        <w:rPr>
          <w:rFonts w:ascii="Arial" w:hAnsi="Arial" w:cs="Arial"/>
        </w:rPr>
        <w:t xml:space="preserve">ara a contratação, que não foi </w:t>
      </w:r>
      <w:r w:rsidR="00D30B9E">
        <w:rPr>
          <w:rFonts w:ascii="Arial" w:hAnsi="Arial" w:cs="Arial"/>
        </w:rPr>
        <w:lastRenderedPageBreak/>
        <w:t>suscitada</w:t>
      </w:r>
      <w:r w:rsidRPr="00AA4FAF">
        <w:rPr>
          <w:rFonts w:ascii="Arial" w:hAnsi="Arial" w:cs="Arial"/>
        </w:rPr>
        <w:t xml:space="preserve"> nos parecer</w:t>
      </w:r>
      <w:r w:rsidR="00D30B9E">
        <w:rPr>
          <w:rFonts w:ascii="Arial" w:hAnsi="Arial" w:cs="Arial"/>
        </w:rPr>
        <w:t>es técnicos e que ora trazemos a</w:t>
      </w:r>
      <w:r w:rsidRPr="00AA4FAF">
        <w:rPr>
          <w:rFonts w:ascii="Arial" w:hAnsi="Arial" w:cs="Arial"/>
        </w:rPr>
        <w:t xml:space="preserve"> lume</w:t>
      </w:r>
      <w:r>
        <w:rPr>
          <w:rFonts w:ascii="Arial" w:hAnsi="Arial" w:cs="Arial"/>
        </w:rPr>
        <w:t>, no tópico que se segue</w:t>
      </w:r>
      <w:r w:rsidRPr="00AA4FAF">
        <w:rPr>
          <w:rFonts w:ascii="Arial" w:hAnsi="Arial" w:cs="Arial"/>
        </w:rPr>
        <w:t>.</w:t>
      </w:r>
    </w:p>
    <w:p w:rsidR="00A92E7B" w:rsidRPr="00A92E7B" w:rsidRDefault="00A92E7B" w:rsidP="00A92E7B">
      <w:pPr>
        <w:tabs>
          <w:tab w:val="left" w:pos="1418"/>
        </w:tabs>
        <w:spacing w:after="200" w:line="360" w:lineRule="auto"/>
        <w:jc w:val="both"/>
        <w:rPr>
          <w:rFonts w:ascii="Arial" w:hAnsi="Arial" w:cs="Arial"/>
          <w:b/>
        </w:rPr>
      </w:pPr>
      <w:r>
        <w:rPr>
          <w:rFonts w:ascii="Arial" w:hAnsi="Arial" w:cs="Arial"/>
          <w:b/>
        </w:rPr>
        <w:t>Da terceirização de serviços advocatícios</w:t>
      </w:r>
    </w:p>
    <w:p w:rsidR="00A92E7B" w:rsidRDefault="00A92E7B" w:rsidP="00A92E7B">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O objeto do certame em tela consiste na contratação de serviços advocatícios</w:t>
      </w:r>
      <w:r w:rsidR="00DC1DE8">
        <w:rPr>
          <w:rFonts w:ascii="Arial" w:hAnsi="Arial" w:cs="Arial"/>
        </w:rPr>
        <w:t>, divididos</w:t>
      </w:r>
      <w:r>
        <w:rPr>
          <w:rFonts w:ascii="Arial" w:hAnsi="Arial" w:cs="Arial"/>
        </w:rPr>
        <w:t xml:space="preserve"> em dois </w:t>
      </w:r>
      <w:r w:rsidR="00DC1DE8">
        <w:rPr>
          <w:rFonts w:ascii="Arial" w:hAnsi="Arial" w:cs="Arial"/>
        </w:rPr>
        <w:t>itens</w:t>
      </w:r>
      <w:r>
        <w:rPr>
          <w:rFonts w:ascii="Arial" w:hAnsi="Arial" w:cs="Arial"/>
        </w:rPr>
        <w:t>, sendo o primeiro</w:t>
      </w:r>
      <w:r w:rsidR="00DC1DE8">
        <w:rPr>
          <w:rFonts w:ascii="Arial" w:hAnsi="Arial" w:cs="Arial"/>
        </w:rPr>
        <w:t xml:space="preserve"> a assessoria e consultoria, inclusive o patrocínio de ações judiciais, em direito público e o segundo a assessoria e consultoria em licitações e contratações públicas.</w:t>
      </w:r>
    </w:p>
    <w:p w:rsidR="00DC1DE8" w:rsidRDefault="00216085" w:rsidP="00A92E7B">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Em suas análises, a Unidade Técnica não aval</w:t>
      </w:r>
      <w:r w:rsidR="003C153B">
        <w:rPr>
          <w:rFonts w:ascii="Arial" w:hAnsi="Arial" w:cs="Arial"/>
        </w:rPr>
        <w:t>iou a legalidade da delegação desse</w:t>
      </w:r>
      <w:r>
        <w:rPr>
          <w:rFonts w:ascii="Arial" w:hAnsi="Arial" w:cs="Arial"/>
        </w:rPr>
        <w:t xml:space="preserve"> serviço a particulares, tendo apenas sugerido recomendar à autoridade municipal que “adote medidas, a fim de realizar concurso público, [...] de forma a preencher o seu quadro de pessoal com um corpo jurídico próprio de advogados, qualificados como procuradores, que possam executar tarefas rotineiras</w:t>
      </w:r>
      <w:r w:rsidR="003C153B">
        <w:rPr>
          <w:rFonts w:ascii="Arial" w:hAnsi="Arial" w:cs="Arial"/>
        </w:rPr>
        <w:t>, permanentes e não excepcionais do ente” (fl. 54).</w:t>
      </w:r>
    </w:p>
    <w:p w:rsidR="00A92E7B" w:rsidRPr="00A72BD5" w:rsidRDefault="003C153B" w:rsidP="003C153B">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 xml:space="preserve">Cumpre, portanto, examinar a </w:t>
      </w:r>
      <w:r w:rsidR="00A92E7B" w:rsidRPr="00A72BD5">
        <w:rPr>
          <w:rFonts w:ascii="Arial" w:hAnsi="Arial" w:cs="Arial"/>
        </w:rPr>
        <w:t xml:space="preserve">possibilidade de terceirizar o </w:t>
      </w:r>
      <w:r>
        <w:rPr>
          <w:rFonts w:ascii="Arial" w:hAnsi="Arial" w:cs="Arial"/>
        </w:rPr>
        <w:t>serviço de consultoria e assessoria jurídica nas áreas de direito público e licitações em face do ordenamento jurídico vigente.</w:t>
      </w:r>
    </w:p>
    <w:p w:rsidR="00661552" w:rsidRPr="00661552" w:rsidRDefault="00661552" w:rsidP="00661552">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Acerca do tema, é importante destacar, de início, que a advocacia pública foi tratada com status constitucional no capítulo destinado às funções essenciais à justiça, cujas linhas gerais foram traçadas nos artigos 131 e 132 da Constituição da República, ora transcritos:</w:t>
      </w:r>
    </w:p>
    <w:p w:rsidR="00661552" w:rsidRPr="00A72BD5" w:rsidRDefault="00661552" w:rsidP="00661552">
      <w:pPr>
        <w:pStyle w:val="NormalWeb"/>
        <w:spacing w:before="0" w:beforeAutospacing="0" w:after="0" w:afterAutospacing="0"/>
        <w:ind w:left="2410"/>
        <w:jc w:val="center"/>
        <w:rPr>
          <w:rFonts w:ascii="Arial" w:hAnsi="Arial" w:cs="Arial"/>
          <w:sz w:val="20"/>
          <w:szCs w:val="20"/>
        </w:rPr>
      </w:pPr>
      <w:r w:rsidRPr="00A84993">
        <w:rPr>
          <w:rFonts w:ascii="Arial" w:hAnsi="Arial" w:cs="Arial"/>
          <w:bCs/>
          <w:caps/>
          <w:sz w:val="20"/>
          <w:szCs w:val="20"/>
        </w:rPr>
        <w:t>DA ADVOCACIA PÚBLICA</w:t>
      </w:r>
    </w:p>
    <w:p w:rsidR="00661552" w:rsidRPr="00A72BD5" w:rsidRDefault="00661552" w:rsidP="00661552">
      <w:pPr>
        <w:pStyle w:val="NormalWeb"/>
        <w:spacing w:before="0" w:beforeAutospacing="0" w:after="0" w:afterAutospacing="0"/>
        <w:ind w:left="2410"/>
        <w:jc w:val="both"/>
        <w:rPr>
          <w:rFonts w:ascii="Arial" w:hAnsi="Arial" w:cs="Arial"/>
          <w:sz w:val="20"/>
          <w:szCs w:val="20"/>
        </w:rPr>
      </w:pPr>
      <w:bookmarkStart w:id="0" w:name="art131"/>
      <w:bookmarkStart w:id="1" w:name="131"/>
      <w:bookmarkEnd w:id="0"/>
      <w:bookmarkEnd w:id="1"/>
      <w:r w:rsidRPr="00A72BD5">
        <w:rPr>
          <w:rFonts w:ascii="Arial" w:hAnsi="Arial" w:cs="Arial"/>
          <w:sz w:val="20"/>
          <w:szCs w:val="20"/>
        </w:rPr>
        <w:t>Art. 131. A Advocacia-Geral da União é a instituição que, diretamente ou através de órgão vinculado, representa a União, judicial e extrajudicialmente, cabendo-lhe, nos termos da lei complementar que dispuser sobre sua organização e funcionamento, as atividades de consultoria e assessoramento jurídico do Poder Executivo.</w:t>
      </w:r>
    </w:p>
    <w:p w:rsidR="00661552" w:rsidRPr="00A72BD5" w:rsidRDefault="00661552" w:rsidP="00661552">
      <w:pPr>
        <w:pStyle w:val="NormalWeb"/>
        <w:spacing w:before="0" w:beforeAutospacing="0" w:after="0" w:afterAutospacing="0"/>
        <w:ind w:left="2410"/>
        <w:jc w:val="both"/>
        <w:rPr>
          <w:rFonts w:ascii="Arial" w:hAnsi="Arial" w:cs="Arial"/>
          <w:sz w:val="20"/>
          <w:szCs w:val="20"/>
        </w:rPr>
      </w:pPr>
      <w:bookmarkStart w:id="2" w:name="131§1"/>
      <w:bookmarkEnd w:id="2"/>
      <w:r w:rsidRPr="00A72BD5">
        <w:rPr>
          <w:rFonts w:ascii="Arial" w:hAnsi="Arial" w:cs="Arial"/>
          <w:sz w:val="20"/>
          <w:szCs w:val="20"/>
        </w:rPr>
        <w:t>§ 1º - A Advocacia-Geral da União tem por chefe o Advogado-Geral da União, de livre nomeação pelo Presidente da República dentre cidadãos maiores de trinta e cinco anos, de notável saber jurídico e reputação ilibada.</w:t>
      </w:r>
    </w:p>
    <w:p w:rsidR="00661552" w:rsidRPr="00A72BD5" w:rsidRDefault="00661552" w:rsidP="00661552">
      <w:pPr>
        <w:pStyle w:val="NormalWeb"/>
        <w:spacing w:before="0" w:beforeAutospacing="0" w:after="0" w:afterAutospacing="0"/>
        <w:ind w:left="2410"/>
        <w:jc w:val="both"/>
        <w:rPr>
          <w:rFonts w:ascii="Arial" w:hAnsi="Arial" w:cs="Arial"/>
          <w:sz w:val="20"/>
          <w:szCs w:val="20"/>
        </w:rPr>
      </w:pPr>
      <w:bookmarkStart w:id="3" w:name="art131§2"/>
      <w:bookmarkEnd w:id="3"/>
      <w:r w:rsidRPr="00A72BD5">
        <w:rPr>
          <w:rFonts w:ascii="Arial" w:hAnsi="Arial" w:cs="Arial"/>
          <w:sz w:val="20"/>
          <w:szCs w:val="20"/>
        </w:rPr>
        <w:t>§ 2º - O ingresso nas classes iniciais das carreiras da instituição de que trata este artigo far-se-á mediante concurso público de provas e títulos.</w:t>
      </w:r>
    </w:p>
    <w:p w:rsidR="00661552" w:rsidRPr="00A72BD5" w:rsidRDefault="00661552" w:rsidP="00661552">
      <w:pPr>
        <w:pStyle w:val="NormalWeb"/>
        <w:spacing w:before="0" w:beforeAutospacing="0" w:after="0" w:afterAutospacing="0"/>
        <w:ind w:left="2410"/>
        <w:jc w:val="both"/>
        <w:rPr>
          <w:rFonts w:ascii="Arial" w:hAnsi="Arial" w:cs="Arial"/>
          <w:sz w:val="20"/>
          <w:szCs w:val="20"/>
        </w:rPr>
      </w:pPr>
      <w:bookmarkStart w:id="4" w:name="131§3"/>
      <w:bookmarkEnd w:id="4"/>
      <w:r w:rsidRPr="00A72BD5">
        <w:rPr>
          <w:rFonts w:ascii="Arial" w:hAnsi="Arial" w:cs="Arial"/>
          <w:sz w:val="20"/>
          <w:szCs w:val="20"/>
        </w:rPr>
        <w:lastRenderedPageBreak/>
        <w:t>§ 3º - Na execução da dívida ativa de natureza tributária, a representação da União cabe à Procuradoria-Geral da Fazenda Nacional, observado o disposto em lei.</w:t>
      </w:r>
    </w:p>
    <w:p w:rsidR="00661552" w:rsidRPr="00A72BD5" w:rsidRDefault="00661552" w:rsidP="00661552">
      <w:pPr>
        <w:pStyle w:val="NormalWeb"/>
        <w:spacing w:before="0" w:beforeAutospacing="0" w:after="0" w:afterAutospacing="0"/>
        <w:ind w:left="2410"/>
        <w:jc w:val="both"/>
        <w:rPr>
          <w:rFonts w:ascii="Arial" w:hAnsi="Arial" w:cs="Arial"/>
          <w:sz w:val="20"/>
          <w:szCs w:val="20"/>
        </w:rPr>
      </w:pPr>
      <w:bookmarkStart w:id="5" w:name="132"/>
      <w:bookmarkStart w:id="6" w:name="art132"/>
      <w:bookmarkEnd w:id="5"/>
      <w:bookmarkEnd w:id="6"/>
      <w:r w:rsidRPr="00A72BD5">
        <w:rPr>
          <w:rFonts w:ascii="Arial" w:hAnsi="Arial" w:cs="Arial"/>
          <w:sz w:val="20"/>
          <w:szCs w:val="20"/>
        </w:rPr>
        <w:t>Art. 132. Os Procuradores dos Estados e do Distrito Federal, organizados em carreira, na qual o ingresso dependerá de concurso público de provas e títulos, com a participação da Ordem dos Advogados do Brasil em todas as suas fases, exercerão a representação judicial e a consultoria jurídica das respectivas unidades federadas.</w:t>
      </w:r>
    </w:p>
    <w:p w:rsidR="00661552" w:rsidRPr="00661552" w:rsidRDefault="00661552" w:rsidP="00661552">
      <w:pPr>
        <w:pStyle w:val="NormalWeb"/>
        <w:spacing w:before="0" w:beforeAutospacing="0" w:after="200" w:afterAutospacing="0"/>
        <w:ind w:left="2410"/>
        <w:jc w:val="both"/>
        <w:rPr>
          <w:rFonts w:ascii="Arial" w:hAnsi="Arial" w:cs="Arial"/>
          <w:sz w:val="20"/>
          <w:szCs w:val="20"/>
        </w:rPr>
      </w:pPr>
      <w:bookmarkStart w:id="7" w:name="art132p"/>
      <w:bookmarkEnd w:id="7"/>
      <w:r w:rsidRPr="00A72BD5">
        <w:rPr>
          <w:rFonts w:ascii="Arial" w:hAnsi="Arial" w:cs="Arial"/>
          <w:sz w:val="20"/>
          <w:szCs w:val="20"/>
        </w:rPr>
        <w:t>Parágrafo único. Aos procuradores referidos neste artigo é assegurada estabilidade após três anos de efetivo exercício, mediante avaliação de desempenho perante os órgãos próprios, após relatório circunstanciado das corregedorias.</w:t>
      </w:r>
    </w:p>
    <w:p w:rsidR="00BC0AD6" w:rsidRDefault="00A84993" w:rsidP="00A84993">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Essas linhas básicas, estabelecidas para a Advocacia-Geral da União, mas extensíveis aos demais entes da federação</w:t>
      </w:r>
      <w:r w:rsidRPr="00A84993">
        <w:rPr>
          <w:rFonts w:ascii="Arial" w:hAnsi="Arial" w:cs="Arial"/>
        </w:rPr>
        <w:t xml:space="preserve"> por </w:t>
      </w:r>
      <w:r>
        <w:rPr>
          <w:rFonts w:ascii="Arial" w:hAnsi="Arial" w:cs="Arial"/>
        </w:rPr>
        <w:t xml:space="preserve">força do princípio da simetria, </w:t>
      </w:r>
      <w:r w:rsidR="00BC0AD6">
        <w:rPr>
          <w:rFonts w:ascii="Arial" w:hAnsi="Arial" w:cs="Arial"/>
        </w:rPr>
        <w:t>outorga</w:t>
      </w:r>
      <w:r w:rsidR="004E6ACE">
        <w:rPr>
          <w:rFonts w:ascii="Arial" w:hAnsi="Arial" w:cs="Arial"/>
        </w:rPr>
        <w:t>m</w:t>
      </w:r>
      <w:r>
        <w:rPr>
          <w:rFonts w:ascii="Arial" w:hAnsi="Arial" w:cs="Arial"/>
        </w:rPr>
        <w:t xml:space="preserve"> a representação judicial e extrajudicial dos órgãos públicos a um corpo de servidores com denominação de procur</w:t>
      </w:r>
      <w:r w:rsidR="00BC0AD6">
        <w:rPr>
          <w:rFonts w:ascii="Arial" w:hAnsi="Arial" w:cs="Arial"/>
        </w:rPr>
        <w:t>adores, organizados em carreira e</w:t>
      </w:r>
      <w:r>
        <w:rPr>
          <w:rFonts w:ascii="Arial" w:hAnsi="Arial" w:cs="Arial"/>
        </w:rPr>
        <w:t xml:space="preserve"> </w:t>
      </w:r>
      <w:r w:rsidR="00BC0AD6">
        <w:rPr>
          <w:rFonts w:ascii="Arial" w:hAnsi="Arial" w:cs="Arial"/>
        </w:rPr>
        <w:t>com investidura condicionada à aprovação em concurso público de provas e títulos.</w:t>
      </w:r>
    </w:p>
    <w:p w:rsidR="00A84993" w:rsidRPr="000A6834" w:rsidRDefault="00BC0AD6" w:rsidP="000A6834">
      <w:pPr>
        <w:widowControl w:val="0"/>
        <w:numPr>
          <w:ilvl w:val="0"/>
          <w:numId w:val="1"/>
        </w:numPr>
        <w:tabs>
          <w:tab w:val="clear" w:pos="2808"/>
          <w:tab w:val="num" w:pos="1418"/>
        </w:tabs>
        <w:spacing w:after="200" w:line="360" w:lineRule="auto"/>
        <w:ind w:left="0" w:firstLine="0"/>
        <w:jc w:val="both"/>
        <w:rPr>
          <w:rFonts w:ascii="Arial" w:hAnsi="Arial" w:cs="Arial"/>
        </w:rPr>
      </w:pPr>
      <w:r w:rsidRPr="000A6834">
        <w:rPr>
          <w:rFonts w:ascii="Arial" w:hAnsi="Arial" w:cs="Arial"/>
        </w:rPr>
        <w:t xml:space="preserve">Aliás, a previsão constitucional para a organização da advocacia pública apenas reforça </w:t>
      </w:r>
      <w:r w:rsidR="00D01D09">
        <w:rPr>
          <w:rFonts w:ascii="Arial" w:hAnsi="Arial" w:cs="Arial"/>
        </w:rPr>
        <w:t>a lógica própria da Administração Pública, segundo a qual seus</w:t>
      </w:r>
      <w:r w:rsidR="000A6834" w:rsidRPr="000A6834">
        <w:rPr>
          <w:rFonts w:ascii="Arial" w:hAnsi="Arial" w:cs="Arial"/>
        </w:rPr>
        <w:t xml:space="preserve"> serviços rotineiros devem ser prestados </w:t>
      </w:r>
      <w:r w:rsidR="00D01D09" w:rsidRPr="000A6834">
        <w:rPr>
          <w:rFonts w:ascii="Arial" w:hAnsi="Arial" w:cs="Arial"/>
        </w:rPr>
        <w:t xml:space="preserve">prioritariamente </w:t>
      </w:r>
      <w:r w:rsidR="000A6834" w:rsidRPr="000A6834">
        <w:rPr>
          <w:rFonts w:ascii="Arial" w:hAnsi="Arial" w:cs="Arial"/>
        </w:rPr>
        <w:t xml:space="preserve">por servidores públicos do quadro permanente, admitidos segundo a </w:t>
      </w:r>
      <w:r w:rsidRPr="000A6834">
        <w:rPr>
          <w:rFonts w:ascii="Arial" w:hAnsi="Arial" w:cs="Arial"/>
        </w:rPr>
        <w:t xml:space="preserve">regra geral insculpida no art. 37, II, </w:t>
      </w:r>
      <w:r w:rsidR="000A6834" w:rsidRPr="000A6834">
        <w:rPr>
          <w:rFonts w:ascii="Arial" w:hAnsi="Arial" w:cs="Arial"/>
        </w:rPr>
        <w:t>da Carta Maior</w:t>
      </w:r>
      <w:r w:rsidRPr="000A6834">
        <w:rPr>
          <w:rFonts w:ascii="Arial" w:hAnsi="Arial" w:cs="Arial"/>
        </w:rPr>
        <w:t>.</w:t>
      </w:r>
    </w:p>
    <w:p w:rsidR="000A6834" w:rsidRPr="000A6834" w:rsidRDefault="000A6834" w:rsidP="00A92E7B">
      <w:pPr>
        <w:widowControl w:val="0"/>
        <w:numPr>
          <w:ilvl w:val="0"/>
          <w:numId w:val="1"/>
        </w:numPr>
        <w:tabs>
          <w:tab w:val="clear" w:pos="2808"/>
          <w:tab w:val="num" w:pos="1418"/>
        </w:tabs>
        <w:spacing w:after="200" w:line="360" w:lineRule="auto"/>
        <w:ind w:left="0" w:firstLine="0"/>
        <w:jc w:val="both"/>
        <w:rPr>
          <w:rFonts w:ascii="Arial" w:hAnsi="Arial" w:cs="Arial"/>
          <w:b/>
        </w:rPr>
      </w:pPr>
      <w:bookmarkStart w:id="8" w:name="tituloivcapituloivsecaoiii"/>
      <w:bookmarkEnd w:id="8"/>
      <w:r>
        <w:rPr>
          <w:rFonts w:ascii="Arial" w:hAnsi="Arial" w:cs="Arial"/>
        </w:rPr>
        <w:t xml:space="preserve">Daí se extrai a conclusão de que </w:t>
      </w:r>
      <w:r w:rsidR="00A92E7B" w:rsidRPr="00A72BD5">
        <w:rPr>
          <w:rFonts w:ascii="Arial" w:hAnsi="Arial" w:cs="Arial"/>
        </w:rPr>
        <w:t xml:space="preserve">é imprescindível a realização de concursos públicos para a formação de um </w:t>
      </w:r>
      <w:r w:rsidR="00A92E7B" w:rsidRPr="00B73B05">
        <w:rPr>
          <w:rFonts w:ascii="Arial" w:hAnsi="Arial" w:cs="Arial"/>
        </w:rPr>
        <w:t>quadro de Procuradores Municipais</w:t>
      </w:r>
      <w:r w:rsidR="00A92E7B" w:rsidRPr="00A72BD5">
        <w:rPr>
          <w:rFonts w:ascii="Arial" w:hAnsi="Arial" w:cs="Arial"/>
        </w:rPr>
        <w:t xml:space="preserve"> em número suficiente para </w:t>
      </w:r>
      <w:r>
        <w:rPr>
          <w:rFonts w:ascii="Arial" w:hAnsi="Arial" w:cs="Arial"/>
        </w:rPr>
        <w:t xml:space="preserve">atender a necessidade do ente com a representação judicial e com o assessoramento jurídico, notadamente nas áreas de direito público, licitação e contratações públicas, que dizem respeito diretamente à atividade administrativa </w:t>
      </w:r>
      <w:r w:rsidR="00405F92">
        <w:rPr>
          <w:rFonts w:ascii="Arial" w:hAnsi="Arial" w:cs="Arial"/>
        </w:rPr>
        <w:t>ordinária</w:t>
      </w:r>
      <w:r>
        <w:rPr>
          <w:rFonts w:ascii="Arial" w:hAnsi="Arial" w:cs="Arial"/>
        </w:rPr>
        <w:t>.</w:t>
      </w:r>
    </w:p>
    <w:p w:rsidR="000A6834" w:rsidRDefault="000A6834" w:rsidP="00A92E7B">
      <w:pPr>
        <w:widowControl w:val="0"/>
        <w:numPr>
          <w:ilvl w:val="0"/>
          <w:numId w:val="1"/>
        </w:numPr>
        <w:tabs>
          <w:tab w:val="clear" w:pos="2808"/>
          <w:tab w:val="num" w:pos="1418"/>
        </w:tabs>
        <w:spacing w:after="200" w:line="360" w:lineRule="auto"/>
        <w:ind w:left="0" w:firstLine="0"/>
        <w:jc w:val="both"/>
        <w:rPr>
          <w:rFonts w:ascii="Arial" w:hAnsi="Arial" w:cs="Arial"/>
        </w:rPr>
      </w:pPr>
      <w:r w:rsidRPr="000A6834">
        <w:rPr>
          <w:rFonts w:ascii="Arial" w:hAnsi="Arial" w:cs="Arial"/>
        </w:rPr>
        <w:t xml:space="preserve">Com efeito, </w:t>
      </w:r>
      <w:r w:rsidR="00A92E7B" w:rsidRPr="000A6834">
        <w:rPr>
          <w:rFonts w:ascii="Arial" w:hAnsi="Arial" w:cs="Arial"/>
          <w:u w:val="single"/>
        </w:rPr>
        <w:t xml:space="preserve">a terceirização integral </w:t>
      </w:r>
      <w:r w:rsidRPr="000A6834">
        <w:rPr>
          <w:rFonts w:ascii="Arial" w:hAnsi="Arial" w:cs="Arial"/>
          <w:u w:val="single"/>
        </w:rPr>
        <w:t>da consultoria e assessoria</w:t>
      </w:r>
      <w:r w:rsidR="00A92E7B" w:rsidRPr="000A6834">
        <w:rPr>
          <w:rFonts w:ascii="Arial" w:hAnsi="Arial" w:cs="Arial"/>
          <w:u w:val="single"/>
        </w:rPr>
        <w:t xml:space="preserve"> de uma área jurídica não tem respaldo na legislação brasileira</w:t>
      </w:r>
      <w:r w:rsidRPr="000A6834">
        <w:rPr>
          <w:rFonts w:ascii="Arial" w:hAnsi="Arial" w:cs="Arial"/>
        </w:rPr>
        <w:t>, uma vez que</w:t>
      </w:r>
      <w:r w:rsidR="00A92E7B" w:rsidRPr="000A6834">
        <w:rPr>
          <w:rFonts w:ascii="Arial" w:hAnsi="Arial" w:cs="Arial"/>
          <w:b/>
        </w:rPr>
        <w:t xml:space="preserve"> </w:t>
      </w:r>
      <w:r w:rsidR="00A92E7B" w:rsidRPr="000A6834">
        <w:rPr>
          <w:rFonts w:ascii="Arial" w:hAnsi="Arial" w:cs="Arial"/>
        </w:rPr>
        <w:t>a Advocacia Pública deve ser exercida por servidores do quadro permanente, em razão do</w:t>
      </w:r>
      <w:r w:rsidR="00405F92">
        <w:rPr>
          <w:rFonts w:ascii="Arial" w:hAnsi="Arial" w:cs="Arial"/>
        </w:rPr>
        <w:t xml:space="preserve"> que dispõem os</w:t>
      </w:r>
      <w:r w:rsidR="00A92E7B" w:rsidRPr="000A6834">
        <w:rPr>
          <w:rFonts w:ascii="Arial" w:hAnsi="Arial" w:cs="Arial"/>
        </w:rPr>
        <w:t xml:space="preserve"> artigos 37, II, 131 e 132 da CR/88</w:t>
      </w:r>
      <w:r w:rsidR="00405F92">
        <w:rPr>
          <w:rFonts w:ascii="Arial" w:hAnsi="Arial" w:cs="Arial"/>
        </w:rPr>
        <w:t>.</w:t>
      </w:r>
    </w:p>
    <w:p w:rsidR="00A92E7B" w:rsidRPr="000A6834" w:rsidRDefault="00754849" w:rsidP="00754849">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 xml:space="preserve">No mesmo sentido tem-se alinhado a jurisprudência do Tribunal de Contas da União, que, inclusive, </w:t>
      </w:r>
      <w:r w:rsidR="00A92E7B" w:rsidRPr="000A6834">
        <w:rPr>
          <w:rFonts w:ascii="Arial" w:hAnsi="Arial" w:cs="Arial"/>
        </w:rPr>
        <w:t xml:space="preserve">já se manifestou pela irregularidade da </w:t>
      </w:r>
      <w:r w:rsidR="00A92E7B" w:rsidRPr="000A6834">
        <w:rPr>
          <w:rFonts w:ascii="Arial" w:hAnsi="Arial" w:cs="Arial"/>
        </w:rPr>
        <w:lastRenderedPageBreak/>
        <w:t>terceirização de serviços advocatícios realizada pelo Banco da Amazônia S.A., conforme Informativo de Jurisprudência sobre Licitações e Contratos do TCU nº 52, de 2011</w:t>
      </w:r>
      <w:r w:rsidR="00A92E7B" w:rsidRPr="00A72BD5">
        <w:rPr>
          <w:rStyle w:val="Refdenotaderodap"/>
          <w:rFonts w:ascii="Arial" w:hAnsi="Arial" w:cs="Arial"/>
        </w:rPr>
        <w:footnoteReference w:id="1"/>
      </w:r>
      <w:r w:rsidR="00A92E7B" w:rsidRPr="000A6834">
        <w:rPr>
          <w:rFonts w:ascii="Arial" w:hAnsi="Arial" w:cs="Arial"/>
        </w:rPr>
        <w:t>:</w:t>
      </w:r>
    </w:p>
    <w:p w:rsidR="00A92E7B" w:rsidRPr="00754849" w:rsidRDefault="00754849" w:rsidP="00754849">
      <w:pPr>
        <w:pStyle w:val="Corpodetexto"/>
        <w:tabs>
          <w:tab w:val="left" w:pos="1134"/>
        </w:tabs>
        <w:ind w:left="2268"/>
        <w:rPr>
          <w:rFonts w:ascii="Arial" w:hAnsi="Arial" w:cs="Arial"/>
          <w:sz w:val="20"/>
          <w:szCs w:val="22"/>
        </w:rPr>
      </w:pPr>
      <w:r>
        <w:rPr>
          <w:rFonts w:ascii="Arial" w:hAnsi="Arial" w:cs="Arial"/>
          <w:sz w:val="20"/>
          <w:szCs w:val="22"/>
        </w:rPr>
        <w:t>“</w:t>
      </w:r>
      <w:r w:rsidR="00A92E7B" w:rsidRPr="00EA43E3">
        <w:rPr>
          <w:rFonts w:ascii="Arial" w:hAnsi="Arial" w:cs="Arial"/>
          <w:sz w:val="20"/>
          <w:szCs w:val="22"/>
          <w:u w:val="single"/>
        </w:rPr>
        <w:t>A contratação de serviços advocatícios terceirizados não deve se referir a atividades rotineiras do órgão, salvo eventual demanda excessiva</w:t>
      </w:r>
      <w:r w:rsidR="00A92E7B" w:rsidRPr="00754849">
        <w:rPr>
          <w:rFonts w:ascii="Arial" w:hAnsi="Arial" w:cs="Arial"/>
          <w:sz w:val="20"/>
          <w:szCs w:val="22"/>
        </w:rPr>
        <w:t>.</w:t>
      </w:r>
    </w:p>
    <w:p w:rsidR="00A92E7B" w:rsidRPr="00754849" w:rsidRDefault="00A92E7B" w:rsidP="00754849">
      <w:pPr>
        <w:pStyle w:val="TCU-SemRecuo"/>
        <w:tabs>
          <w:tab w:val="clear" w:pos="1134"/>
          <w:tab w:val="left" w:pos="0"/>
          <w:tab w:val="left" w:pos="1560"/>
        </w:tabs>
        <w:spacing w:after="200"/>
        <w:ind w:left="2268"/>
        <w:contextualSpacing/>
        <w:rPr>
          <w:rFonts w:ascii="Arial" w:hAnsi="Arial" w:cs="Arial"/>
          <w:sz w:val="20"/>
          <w:szCs w:val="22"/>
        </w:rPr>
      </w:pPr>
      <w:r w:rsidRPr="00754849">
        <w:rPr>
          <w:rFonts w:ascii="Arial" w:hAnsi="Arial" w:cs="Arial"/>
          <w:sz w:val="20"/>
          <w:szCs w:val="22"/>
        </w:rPr>
        <w:t xml:space="preserve">Por meio de pedido de reexame, o responsável insurgiu-se contra o Acórdão nº 852/2010-Plenário, por meio do qual esta Corte aplicou-lhe multa, bem como expediu determinações ao Banco da Amazônia S.A. – (BASA), em razão de irregularidades observadas na contratação de serviços advocatícios tercerizados. Na oportunidade da decisão originária, consideraram-se descumpridas deliberações anteriores (Acórdãos nºs 1443/2007–Plenário e 3840/2008-1ª Câmara), nas quais fora determinado ao BASA que se </w:t>
      </w:r>
      <w:r w:rsidR="0050332E">
        <w:rPr>
          <w:rFonts w:ascii="Arial" w:hAnsi="Arial" w:cs="Arial"/>
          <w:sz w:val="20"/>
          <w:szCs w:val="22"/>
        </w:rPr>
        <w:t>‘</w:t>
      </w:r>
      <w:r w:rsidRPr="00754849">
        <w:rPr>
          <w:rFonts w:ascii="Arial" w:hAnsi="Arial" w:cs="Arial"/>
          <w:sz w:val="20"/>
          <w:szCs w:val="22"/>
        </w:rPr>
        <w:t xml:space="preserve">(...) </w:t>
      </w:r>
      <w:r w:rsidRPr="00754849">
        <w:rPr>
          <w:rFonts w:ascii="Arial" w:hAnsi="Arial" w:cs="Arial"/>
          <w:i/>
          <w:sz w:val="20"/>
          <w:szCs w:val="22"/>
        </w:rPr>
        <w:t>limitasse a contratar serviços advocatícios apenas para atender a situações específicas devidamente justificadas, abstendo-se de contratá-los para execução de atividades rotineiras do órgão, salvo eventual demanda excessiva</w:t>
      </w:r>
      <w:r w:rsidR="0050332E">
        <w:rPr>
          <w:rFonts w:ascii="Arial" w:hAnsi="Arial" w:cs="Arial"/>
          <w:i/>
          <w:sz w:val="20"/>
          <w:szCs w:val="22"/>
        </w:rPr>
        <w:t>’</w:t>
      </w:r>
      <w:r w:rsidRPr="00754849">
        <w:rPr>
          <w:rFonts w:ascii="Arial" w:hAnsi="Arial" w:cs="Arial"/>
          <w:sz w:val="20"/>
          <w:szCs w:val="22"/>
        </w:rPr>
        <w:t xml:space="preserve">. No presente momento processual, o recorrente alega, em suma, que </w:t>
      </w:r>
      <w:r w:rsidRPr="00754849">
        <w:rPr>
          <w:rFonts w:ascii="Arial" w:eastAsia="Calibri" w:hAnsi="Arial" w:cs="Arial"/>
          <w:sz w:val="20"/>
          <w:szCs w:val="22"/>
        </w:rPr>
        <w:t xml:space="preserve">o </w:t>
      </w:r>
      <w:r w:rsidRPr="00754849">
        <w:rPr>
          <w:rFonts w:ascii="Arial" w:hAnsi="Arial" w:cs="Arial"/>
          <w:sz w:val="20"/>
          <w:szCs w:val="22"/>
        </w:rPr>
        <w:t>Tribunal teria considerado legais terceirizações</w:t>
      </w:r>
      <w:r w:rsidRPr="00A72BD5">
        <w:rPr>
          <w:rFonts w:ascii="Arial" w:hAnsi="Arial" w:cs="Arial"/>
          <w:sz w:val="20"/>
          <w:szCs w:val="22"/>
        </w:rPr>
        <w:t xml:space="preserve"> de serviços advocatícios em circunstâncias semelhantes às presentes, apenas exigindo que os serviços contratados fossem desvinculados de atividade-fim das empresas, caso houvesse insuficiência de advogados no quadro permanente, sobrecarga de trabalho e que fossem observados os princípios da economicidade e eficácia. Além disso, em seu modo de ver, os Acórdãos nºs 1.443/2007-Plenário e 3.840/2008-1ª Câmara não teriam sido descumpridos, pois os termos do Edital de Credenciamento nº 2009/001 observaram as restrições por eles impostas, dado que limitou a atuação dos terceirizados à esfera judicial e não geraram vínculos empregatícios, sendo temporária a . Aditou, ainda, atuar o BASA em mercado competitivo, sendo regido pelo art. 173, inciso II, da Constituição Federal, com regime jurídico próprio das empresas privadas, não cabendo incrementar o quadro de advogados contratados permanentemente, pois a atividade do banco seria cíclica, e demitir empregados implicaria custos, além de as contratações privilegiarem a atividade-meio. Por fim, enfatizou que as ações envolvendo índices dos Planos Verão, Bresser, Collor e as URPs teriam crescido demasiadamente, a justificar as contratações questionadas, em face do reduzido quadro de advogados do BASA. O relator, ao refutar aos argumentos, ressaltou que as justificativas do recorrente reafirmariam a necessidade de manutenção das determinações inquinadas, tendo em vista que, se os advogados terceirizados apenas atuam em processos judiciais contenciosos para os quais há petições padronizadas, tratando em especial de Planos Econômicos, a conclusão é que, por si só, esse fato contrariaria as determinações exaradas por este Tribunal nas etapas processuais anteriores. Ademais, no ponto de vista do relator, </w:t>
      </w:r>
      <w:r w:rsidR="0050332E" w:rsidRPr="00EA43E3">
        <w:rPr>
          <w:rFonts w:ascii="Arial" w:hAnsi="Arial" w:cs="Arial"/>
          <w:sz w:val="20"/>
          <w:szCs w:val="22"/>
          <w:u w:val="single"/>
        </w:rPr>
        <w:t>‘</w:t>
      </w:r>
      <w:r w:rsidRPr="00EA43E3">
        <w:rPr>
          <w:rFonts w:ascii="Arial" w:hAnsi="Arial" w:cs="Arial"/>
          <w:i/>
          <w:sz w:val="20"/>
          <w:szCs w:val="22"/>
          <w:u w:val="single"/>
        </w:rPr>
        <w:t>os processos de execução levados a efeito por advogados terceirizados são rotineiros, pois os Planos Econômicos que os teriam gerado, em suposto número excessivo, são de longa data e não exigem conhecimentos qualificados</w:t>
      </w:r>
      <w:r w:rsidR="0050332E" w:rsidRPr="00EA43E3">
        <w:rPr>
          <w:rFonts w:ascii="Arial" w:hAnsi="Arial" w:cs="Arial"/>
          <w:i/>
          <w:sz w:val="20"/>
          <w:szCs w:val="22"/>
          <w:u w:val="single"/>
        </w:rPr>
        <w:t>’</w:t>
      </w:r>
      <w:r w:rsidRPr="00A72BD5">
        <w:rPr>
          <w:rFonts w:ascii="Arial" w:hAnsi="Arial" w:cs="Arial"/>
          <w:sz w:val="20"/>
          <w:szCs w:val="22"/>
        </w:rPr>
        <w:t xml:space="preserve">. O alegado insuficiente quadro permanente de advogados destinados ao acompanhamento de processos contenciosos, a cargo dos advogados terceirizados, existiria, então, paralelamente à terceirização, a qual aconteceria há vários anos na instituição. Portanto, </w:t>
      </w:r>
      <w:r w:rsidR="0050332E">
        <w:rPr>
          <w:rFonts w:ascii="Arial" w:hAnsi="Arial" w:cs="Arial"/>
          <w:sz w:val="20"/>
          <w:szCs w:val="22"/>
        </w:rPr>
        <w:t>‘</w:t>
      </w:r>
      <w:r w:rsidRPr="00A72BD5">
        <w:rPr>
          <w:rFonts w:ascii="Arial" w:hAnsi="Arial" w:cs="Arial"/>
          <w:i/>
          <w:sz w:val="20"/>
          <w:szCs w:val="22"/>
        </w:rPr>
        <w:t xml:space="preserve">não é razoável concluir que esta última, objeto dos autos, ocorreu por uma </w:t>
      </w:r>
      <w:r w:rsidRPr="00A72BD5">
        <w:rPr>
          <w:rFonts w:ascii="Arial" w:hAnsi="Arial" w:cs="Arial"/>
          <w:i/>
          <w:sz w:val="20"/>
          <w:szCs w:val="22"/>
        </w:rPr>
        <w:lastRenderedPageBreak/>
        <w:t>situação específica e inédita</w:t>
      </w:r>
      <w:r w:rsidR="0050332E">
        <w:rPr>
          <w:rFonts w:ascii="Arial" w:hAnsi="Arial" w:cs="Arial"/>
          <w:i/>
          <w:sz w:val="20"/>
          <w:szCs w:val="22"/>
        </w:rPr>
        <w:t>’</w:t>
      </w:r>
      <w:r w:rsidRPr="00A72BD5">
        <w:rPr>
          <w:rFonts w:ascii="Arial" w:hAnsi="Arial" w:cs="Arial"/>
          <w:sz w:val="20"/>
          <w:szCs w:val="22"/>
        </w:rPr>
        <w:t>. A longa duração da terceirização examinada – cerca de 10 anos – lançaria dúvidas acerca da economicidade dessa prática, uma vez que não há justificativas se os custos inerentes compensariam, ou não, contratar advogados permanentes ou temporários. Votou o relator, com a aprovação do Plenário, pelo não provimento do recurso. Acórdão n.º 449/2011-Plenário, TC-012.165/2009-7, Relator Ministro Augusto Nardes, 23.02.2011.</w:t>
      </w:r>
      <w:r w:rsidR="00754849">
        <w:rPr>
          <w:rFonts w:ascii="Arial" w:hAnsi="Arial" w:cs="Arial"/>
          <w:sz w:val="20"/>
          <w:szCs w:val="22"/>
        </w:rPr>
        <w:t>”</w:t>
      </w:r>
      <w:r w:rsidR="00EA43E3">
        <w:rPr>
          <w:rFonts w:ascii="Arial" w:hAnsi="Arial" w:cs="Arial"/>
          <w:sz w:val="20"/>
          <w:szCs w:val="22"/>
        </w:rPr>
        <w:t xml:space="preserve"> [grifos aditados]</w:t>
      </w:r>
    </w:p>
    <w:p w:rsidR="00B22DEF" w:rsidRPr="00B22DEF" w:rsidRDefault="00DB1654" w:rsidP="00B22DEF">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E</w:t>
      </w:r>
      <w:r w:rsidR="00A92E7B" w:rsidRPr="00A72BD5">
        <w:rPr>
          <w:rFonts w:ascii="Arial" w:hAnsi="Arial" w:cs="Arial"/>
        </w:rPr>
        <w:t xml:space="preserve">sse entendimento </w:t>
      </w:r>
      <w:r>
        <w:rPr>
          <w:rFonts w:ascii="Arial" w:hAnsi="Arial" w:cs="Arial"/>
        </w:rPr>
        <w:t>também foi corroborado por esta Corte de Contas, por ocasião d</w:t>
      </w:r>
      <w:r w:rsidR="00A92E7B" w:rsidRPr="00A72BD5">
        <w:rPr>
          <w:rFonts w:ascii="Arial" w:hAnsi="Arial" w:cs="Arial"/>
        </w:rPr>
        <w:t xml:space="preserve">a deliberação </w:t>
      </w:r>
      <w:r>
        <w:rPr>
          <w:rFonts w:ascii="Arial" w:hAnsi="Arial" w:cs="Arial"/>
        </w:rPr>
        <w:t>da</w:t>
      </w:r>
      <w:r w:rsidR="00A92E7B" w:rsidRPr="00DB1654">
        <w:rPr>
          <w:rFonts w:ascii="Arial" w:hAnsi="Arial" w:cs="Arial"/>
        </w:rPr>
        <w:t xml:space="preserve"> Consulta nº 888.126, na sessão de 08/08/2013, </w:t>
      </w:r>
      <w:r>
        <w:rPr>
          <w:rFonts w:ascii="Arial" w:hAnsi="Arial" w:cs="Arial"/>
        </w:rPr>
        <w:t>quando se assentou, em prejulgamento de tese e com caráter normativo, que</w:t>
      </w:r>
      <w:r w:rsidR="00A92E7B" w:rsidRPr="00DB1654">
        <w:rPr>
          <w:rFonts w:ascii="Arial" w:hAnsi="Arial" w:cs="Arial"/>
        </w:rPr>
        <w:t xml:space="preserve"> a contratação de serviços</w:t>
      </w:r>
      <w:r w:rsidR="00B22DEF">
        <w:rPr>
          <w:rFonts w:ascii="Arial" w:hAnsi="Arial" w:cs="Arial"/>
        </w:rPr>
        <w:t xml:space="preserve"> advocatícios, por meio de licitação, somente é admitida em caráter complementar, na hipótese de não haver</w:t>
      </w:r>
      <w:r w:rsidR="00A92E7B" w:rsidRPr="00DB1654">
        <w:rPr>
          <w:rFonts w:ascii="Arial" w:hAnsi="Arial" w:cs="Arial"/>
        </w:rPr>
        <w:t xml:space="preserve"> procuradores suficientes para representação em juízo:</w:t>
      </w:r>
    </w:p>
    <w:p w:rsidR="00B22DEF" w:rsidRDefault="00B22DEF" w:rsidP="0050332E">
      <w:pPr>
        <w:pStyle w:val="NormalWeb"/>
        <w:tabs>
          <w:tab w:val="left" w:pos="2552"/>
        </w:tabs>
        <w:spacing w:before="0" w:beforeAutospacing="0" w:after="0" w:afterAutospacing="0"/>
        <w:ind w:left="2268"/>
        <w:jc w:val="both"/>
        <w:rPr>
          <w:rFonts w:ascii="Arial" w:hAnsi="Arial" w:cs="Arial"/>
          <w:sz w:val="20"/>
          <w:szCs w:val="20"/>
        </w:rPr>
      </w:pPr>
      <w:r>
        <w:rPr>
          <w:rFonts w:ascii="Arial" w:hAnsi="Arial" w:cs="Arial"/>
          <w:sz w:val="20"/>
          <w:szCs w:val="20"/>
        </w:rPr>
        <w:t xml:space="preserve">“a) </w:t>
      </w:r>
      <w:r w:rsidR="00A92E7B" w:rsidRPr="00A72BD5">
        <w:rPr>
          <w:rFonts w:ascii="Arial" w:hAnsi="Arial" w:cs="Arial"/>
          <w:sz w:val="20"/>
          <w:szCs w:val="20"/>
        </w:rPr>
        <w:t>Os serviços rotineiros, permanentes e não excepcionais devem, em regra, ser realizados pelo corpo jurídico do próprio ente. Consultas n. 765.192 (27/11/2008), 735.385 (17/10/2007), 708.580 (08/11/2006), 688.701 (15/12/2004), 684.672 (01/09/2004) e 183.486 (21/09/1994).</w:t>
      </w:r>
    </w:p>
    <w:p w:rsidR="00A92E7B" w:rsidRPr="00A72BD5" w:rsidRDefault="00B22DEF" w:rsidP="00B22DEF">
      <w:pPr>
        <w:pStyle w:val="NormalWeb"/>
        <w:tabs>
          <w:tab w:val="left" w:pos="2552"/>
        </w:tabs>
        <w:spacing w:before="0" w:beforeAutospacing="0" w:after="120" w:afterAutospacing="0"/>
        <w:ind w:left="2268"/>
        <w:jc w:val="both"/>
        <w:rPr>
          <w:rFonts w:ascii="Arial" w:hAnsi="Arial" w:cs="Arial"/>
          <w:sz w:val="20"/>
          <w:szCs w:val="20"/>
        </w:rPr>
      </w:pPr>
      <w:r>
        <w:rPr>
          <w:rFonts w:ascii="Arial" w:hAnsi="Arial" w:cs="Arial"/>
          <w:sz w:val="20"/>
          <w:szCs w:val="20"/>
        </w:rPr>
        <w:t xml:space="preserve">b) </w:t>
      </w:r>
      <w:r w:rsidR="00A92E7B" w:rsidRPr="00A72BD5">
        <w:rPr>
          <w:rFonts w:ascii="Arial" w:hAnsi="Arial" w:cs="Arial"/>
          <w:sz w:val="20"/>
          <w:szCs w:val="20"/>
        </w:rPr>
        <w:t>Admite-se a contratação de serviços advocatícios, por meio de licitação, quando não houver procuradores suficientes para representar o órgão em juízo e promover ações de sua competência. Consultas n. 746.716 (17/09/2008), 735.385 (17/10/2007), 708.580 (08/11/2006), 688.701 (15/12/2004) e 684.672 (01/09/2004).</w:t>
      </w:r>
      <w:r>
        <w:rPr>
          <w:rFonts w:ascii="Arial" w:hAnsi="Arial" w:cs="Arial"/>
          <w:sz w:val="20"/>
          <w:szCs w:val="20"/>
        </w:rPr>
        <w:t>”</w:t>
      </w:r>
      <w:r>
        <w:rPr>
          <w:rStyle w:val="Refdenotaderodap"/>
          <w:rFonts w:ascii="Arial" w:hAnsi="Arial" w:cs="Arial"/>
          <w:sz w:val="20"/>
          <w:szCs w:val="20"/>
        </w:rPr>
        <w:footnoteReference w:id="2"/>
      </w:r>
    </w:p>
    <w:p w:rsidR="00A92E7B" w:rsidRPr="000469A1" w:rsidRDefault="000469A1" w:rsidP="00A92E7B">
      <w:pPr>
        <w:widowControl w:val="0"/>
        <w:numPr>
          <w:ilvl w:val="0"/>
          <w:numId w:val="1"/>
        </w:numPr>
        <w:tabs>
          <w:tab w:val="clear" w:pos="2808"/>
          <w:tab w:val="num" w:pos="1418"/>
        </w:tabs>
        <w:spacing w:after="200" w:line="360" w:lineRule="auto"/>
        <w:ind w:left="0" w:firstLine="0"/>
        <w:jc w:val="both"/>
        <w:rPr>
          <w:rFonts w:ascii="Arial" w:hAnsi="Arial" w:cs="Arial"/>
        </w:rPr>
      </w:pPr>
      <w:r w:rsidRPr="000469A1">
        <w:rPr>
          <w:rFonts w:ascii="Arial" w:hAnsi="Arial" w:cs="Arial"/>
        </w:rPr>
        <w:t xml:space="preserve">A mesma linha, atinente à impossibilidade de execução indireta de atividades jurídicas e de atos que possuam carga de autoridade, </w:t>
      </w:r>
      <w:r>
        <w:rPr>
          <w:rFonts w:ascii="Arial" w:hAnsi="Arial" w:cs="Arial"/>
        </w:rPr>
        <w:t>foi defendida</w:t>
      </w:r>
      <w:r w:rsidRPr="000469A1">
        <w:rPr>
          <w:rFonts w:ascii="Arial" w:hAnsi="Arial" w:cs="Arial"/>
        </w:rPr>
        <w:t xml:space="preserve"> por</w:t>
      </w:r>
      <w:r w:rsidR="00A92E7B" w:rsidRPr="000469A1">
        <w:rPr>
          <w:rFonts w:ascii="Arial" w:hAnsi="Arial" w:cs="Arial"/>
        </w:rPr>
        <w:t xml:space="preserve"> Leonardo Motta Espírito Santo, Cláudia Ribeiro Soares e Leonardo Ferraz, em texto que integra o “Curso Prático de Direito Administrativo”</w:t>
      </w:r>
      <w:r w:rsidRPr="000469A1">
        <w:rPr>
          <w:rFonts w:ascii="Arial" w:hAnsi="Arial" w:cs="Arial"/>
        </w:rPr>
        <w:t>,</w:t>
      </w:r>
      <w:r w:rsidR="00A92E7B" w:rsidRPr="000469A1">
        <w:rPr>
          <w:rFonts w:ascii="Arial" w:hAnsi="Arial" w:cs="Arial"/>
        </w:rPr>
        <w:t xml:space="preserve"> coordenado pelo Professor Carlos Pinto Coelho Motta</w:t>
      </w:r>
      <w:r w:rsidR="00A92E7B" w:rsidRPr="00A72BD5">
        <w:rPr>
          <w:rStyle w:val="Refdenotaderodap"/>
          <w:rFonts w:ascii="Arial" w:hAnsi="Arial" w:cs="Arial"/>
        </w:rPr>
        <w:footnoteReference w:id="3"/>
      </w:r>
      <w:r w:rsidR="00A92E7B" w:rsidRPr="000469A1">
        <w:rPr>
          <w:rFonts w:ascii="Arial" w:hAnsi="Arial" w:cs="Arial"/>
        </w:rPr>
        <w:t xml:space="preserve">, </w:t>
      </w:r>
      <w:r>
        <w:rPr>
          <w:rFonts w:ascii="Arial" w:hAnsi="Arial" w:cs="Arial"/>
        </w:rPr>
        <w:t>senão vejamos</w:t>
      </w:r>
      <w:r w:rsidR="00A92E7B" w:rsidRPr="000469A1">
        <w:rPr>
          <w:rFonts w:ascii="Arial" w:hAnsi="Arial" w:cs="Arial"/>
        </w:rPr>
        <w:t>:</w:t>
      </w:r>
    </w:p>
    <w:p w:rsidR="00A92E7B" w:rsidRPr="00A72BD5" w:rsidRDefault="00A61AE4" w:rsidP="0050332E">
      <w:pPr>
        <w:widowControl w:val="0"/>
        <w:ind w:left="2268"/>
        <w:jc w:val="both"/>
        <w:rPr>
          <w:rFonts w:ascii="Arial" w:hAnsi="Arial" w:cs="Arial"/>
          <w:sz w:val="20"/>
          <w:szCs w:val="20"/>
        </w:rPr>
      </w:pPr>
      <w:r>
        <w:rPr>
          <w:rFonts w:ascii="Arial" w:hAnsi="Arial" w:cs="Arial"/>
          <w:sz w:val="20"/>
          <w:szCs w:val="20"/>
        </w:rPr>
        <w:t>“</w:t>
      </w:r>
      <w:r w:rsidR="00A92E7B" w:rsidRPr="00A72BD5">
        <w:rPr>
          <w:rFonts w:ascii="Arial" w:hAnsi="Arial" w:cs="Arial"/>
          <w:sz w:val="20"/>
          <w:szCs w:val="20"/>
        </w:rPr>
        <w:t>Outro contorno de utilização da terceirização refere-se à convivência com o mandamento constitucional disposto no art. 37, II, da Carta Política de 1988, de investidura em cargos ou empregos públicos mediante a aprovação prévia em concurso público.</w:t>
      </w:r>
    </w:p>
    <w:p w:rsidR="00A92E7B" w:rsidRPr="00A72BD5" w:rsidRDefault="00A92E7B" w:rsidP="0050332E">
      <w:pPr>
        <w:widowControl w:val="0"/>
        <w:ind w:left="2268"/>
        <w:jc w:val="both"/>
        <w:rPr>
          <w:rFonts w:ascii="Arial" w:hAnsi="Arial" w:cs="Arial"/>
          <w:sz w:val="20"/>
          <w:szCs w:val="20"/>
        </w:rPr>
      </w:pPr>
      <w:r w:rsidRPr="00A72BD5">
        <w:rPr>
          <w:rFonts w:ascii="Arial" w:hAnsi="Arial" w:cs="Arial"/>
          <w:sz w:val="20"/>
          <w:szCs w:val="20"/>
        </w:rPr>
        <w:t>A Corte de Contas da União já pacificou orientação respaldando-se nessa regra constitucional a fim de impedir a burla ao concurso por meio da adoção de terceirizações:</w:t>
      </w:r>
    </w:p>
    <w:p w:rsidR="00A92E7B" w:rsidRPr="00A72BD5" w:rsidRDefault="00A92E7B" w:rsidP="0050332E">
      <w:pPr>
        <w:widowControl w:val="0"/>
        <w:ind w:left="2268"/>
        <w:jc w:val="both"/>
        <w:rPr>
          <w:rFonts w:ascii="Arial" w:hAnsi="Arial" w:cs="Arial"/>
          <w:sz w:val="20"/>
          <w:szCs w:val="20"/>
        </w:rPr>
      </w:pPr>
      <w:r w:rsidRPr="00A72BD5">
        <w:rPr>
          <w:rFonts w:ascii="Arial" w:hAnsi="Arial" w:cs="Arial"/>
          <w:sz w:val="20"/>
          <w:szCs w:val="20"/>
        </w:rPr>
        <w:t xml:space="preserve">É inconstitucional a terceirização de atividades que integrem as atribuições finalísticas de órgão ou entidade da Administração Pública Federal, em razão da burla à exigência constitucional de admissão de servidores ou empregados públicos mediante concurso público. </w:t>
      </w:r>
    </w:p>
    <w:p w:rsidR="00A92E7B" w:rsidRPr="00EA43E3" w:rsidRDefault="00A92E7B" w:rsidP="0050332E">
      <w:pPr>
        <w:widowControl w:val="0"/>
        <w:ind w:left="2268"/>
        <w:jc w:val="both"/>
        <w:rPr>
          <w:rFonts w:ascii="Arial" w:hAnsi="Arial" w:cs="Arial"/>
          <w:sz w:val="20"/>
          <w:szCs w:val="20"/>
        </w:rPr>
      </w:pPr>
      <w:r w:rsidRPr="00A72BD5">
        <w:rPr>
          <w:rFonts w:ascii="Arial" w:hAnsi="Arial" w:cs="Arial"/>
          <w:sz w:val="20"/>
          <w:szCs w:val="20"/>
        </w:rPr>
        <w:lastRenderedPageBreak/>
        <w:t xml:space="preserve">Em acurado </w:t>
      </w:r>
      <w:r w:rsidRPr="00EA43E3">
        <w:rPr>
          <w:rFonts w:ascii="Arial" w:hAnsi="Arial" w:cs="Arial"/>
          <w:sz w:val="20"/>
          <w:szCs w:val="20"/>
        </w:rPr>
        <w:t xml:space="preserve">estudo, Luciano Ferraz corrobora tal vedação afirmando que as atividades materiais podem ser realizadas por intermédio da contratação de pessoal por interposta pessoa; </w:t>
      </w:r>
      <w:r w:rsidRPr="00A61AE4">
        <w:rPr>
          <w:rFonts w:ascii="Arial" w:hAnsi="Arial" w:cs="Arial"/>
          <w:sz w:val="20"/>
          <w:szCs w:val="20"/>
          <w:u w:val="single"/>
        </w:rPr>
        <w:t>já as atividades jurídicas e os atos que possuem carga de autoridade, entende o autor que não podem ser objeto dessa execução indireta, porque aqueles atos devem ser praticados por servidores públicos</w:t>
      </w:r>
      <w:r w:rsidRPr="00EA43E3">
        <w:rPr>
          <w:rFonts w:ascii="Arial" w:hAnsi="Arial" w:cs="Arial"/>
          <w:sz w:val="20"/>
          <w:szCs w:val="20"/>
        </w:rPr>
        <w:t>.</w:t>
      </w:r>
    </w:p>
    <w:p w:rsidR="00A92E7B" w:rsidRPr="008F6EE1" w:rsidRDefault="00A92E7B" w:rsidP="008F6EE1">
      <w:pPr>
        <w:widowControl w:val="0"/>
        <w:spacing w:after="200"/>
        <w:ind w:left="2268"/>
        <w:jc w:val="both"/>
        <w:rPr>
          <w:rFonts w:ascii="Arial" w:hAnsi="Arial" w:cs="Arial"/>
          <w:sz w:val="20"/>
          <w:szCs w:val="20"/>
        </w:rPr>
      </w:pPr>
      <w:r w:rsidRPr="00EA43E3">
        <w:rPr>
          <w:rFonts w:ascii="Arial" w:hAnsi="Arial" w:cs="Arial"/>
          <w:sz w:val="20"/>
          <w:szCs w:val="20"/>
        </w:rPr>
        <w:t>O renomado administrativista discorre ainda que, quando a atividade a ser desempenhada por terceirizado for atividade-fim, a terceirização está vedada; da mesma forma que também está vedada quando houver correspondência entre atividade desempenhada pelo terceirizado e os cargos existentes na estrutura do órgão ou entidade.</w:t>
      </w:r>
      <w:r w:rsidR="00A61AE4">
        <w:rPr>
          <w:rFonts w:ascii="Arial" w:hAnsi="Arial" w:cs="Arial"/>
          <w:sz w:val="20"/>
          <w:szCs w:val="20"/>
        </w:rPr>
        <w:t>” [grifos aditados]</w:t>
      </w:r>
    </w:p>
    <w:p w:rsidR="00FB222B" w:rsidRDefault="00FB222B" w:rsidP="00A92E7B">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 xml:space="preserve">Com efeito, sob a ótica constitucional atual, entendemos que os serviços de consultoria e assessoramento jurídico ordinário da Administração competem a procuradores detentores de </w:t>
      </w:r>
      <w:r w:rsidRPr="009C0C66">
        <w:rPr>
          <w:rFonts w:ascii="Arial" w:hAnsi="Arial" w:cs="Arial"/>
          <w:u w:val="single"/>
        </w:rPr>
        <w:t>cargo efetivo</w:t>
      </w:r>
      <w:r>
        <w:rPr>
          <w:rFonts w:ascii="Arial" w:hAnsi="Arial" w:cs="Arial"/>
        </w:rPr>
        <w:t xml:space="preserve">, componentes do </w:t>
      </w:r>
      <w:r w:rsidRPr="009C0C66">
        <w:rPr>
          <w:rFonts w:ascii="Arial" w:hAnsi="Arial" w:cs="Arial"/>
          <w:u w:val="single"/>
        </w:rPr>
        <w:t>quadro permanente</w:t>
      </w:r>
      <w:r>
        <w:rPr>
          <w:rFonts w:ascii="Arial" w:hAnsi="Arial" w:cs="Arial"/>
        </w:rPr>
        <w:t>, e que somente em situações excepcionais poder-se-ia atribuí-los a advogados estranhos ao corpo de servidores, seja por meio de licitação ou de contratação direta, fundada nos artigos 24 ou 25 da Lei nº 8.666, de 1993.</w:t>
      </w:r>
    </w:p>
    <w:p w:rsidR="00FB222B" w:rsidRDefault="0071702E" w:rsidP="00A92E7B">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 xml:space="preserve">Na situação em tela, porém, </w:t>
      </w:r>
      <w:r w:rsidR="00AD5DE6">
        <w:rPr>
          <w:rFonts w:ascii="Arial" w:hAnsi="Arial" w:cs="Arial"/>
        </w:rPr>
        <w:t>o projeto básico que acompanha o instrumento convocatório justifica</w:t>
      </w:r>
      <w:r w:rsidR="00827455">
        <w:rPr>
          <w:rFonts w:ascii="Arial" w:hAnsi="Arial" w:cs="Arial"/>
        </w:rPr>
        <w:t xml:space="preserve"> a opção pela terceirização pel</w:t>
      </w:r>
      <w:r w:rsidR="00AD5DE6">
        <w:rPr>
          <w:rFonts w:ascii="Arial" w:hAnsi="Arial" w:cs="Arial"/>
        </w:rPr>
        <w:t xml:space="preserve">o fato de não haver </w:t>
      </w:r>
      <w:r w:rsidR="00827455">
        <w:rPr>
          <w:rFonts w:ascii="Arial" w:hAnsi="Arial" w:cs="Arial"/>
        </w:rPr>
        <w:t>procuradoria jurídica estruturada, com advogados efetivos, no Município de Pedro Teixeira, o que, em nosso sentir, não configura a excepcionalidade referida acima.</w:t>
      </w:r>
    </w:p>
    <w:p w:rsidR="00FB222B" w:rsidRDefault="00C922A6" w:rsidP="00A92E7B">
      <w:pPr>
        <w:widowControl w:val="0"/>
        <w:numPr>
          <w:ilvl w:val="0"/>
          <w:numId w:val="1"/>
        </w:numPr>
        <w:tabs>
          <w:tab w:val="clear" w:pos="2808"/>
          <w:tab w:val="num" w:pos="1418"/>
        </w:tabs>
        <w:spacing w:after="200" w:line="360" w:lineRule="auto"/>
        <w:ind w:left="0" w:firstLine="0"/>
        <w:jc w:val="both"/>
        <w:rPr>
          <w:rFonts w:ascii="Arial" w:hAnsi="Arial" w:cs="Arial"/>
        </w:rPr>
      </w:pPr>
      <w:r>
        <w:rPr>
          <w:rFonts w:ascii="Arial" w:hAnsi="Arial" w:cs="Arial"/>
        </w:rPr>
        <w:t>Ao revés, confirma a ausência de corpo de advocacia pública no Município, embora as atividades de consultoria e assessoramento em direito público, licitações e contratações públicas sejam perenes e intrínsecas à rotina administrativa.</w:t>
      </w:r>
    </w:p>
    <w:p w:rsidR="00A92E7B" w:rsidRPr="00C922A6" w:rsidRDefault="00A92E7B" w:rsidP="00A92E7B">
      <w:pPr>
        <w:widowControl w:val="0"/>
        <w:numPr>
          <w:ilvl w:val="0"/>
          <w:numId w:val="1"/>
        </w:numPr>
        <w:tabs>
          <w:tab w:val="clear" w:pos="2808"/>
          <w:tab w:val="num" w:pos="1418"/>
        </w:tabs>
        <w:spacing w:after="200" w:line="360" w:lineRule="auto"/>
        <w:ind w:left="0" w:firstLine="0"/>
        <w:jc w:val="both"/>
        <w:rPr>
          <w:rFonts w:ascii="Arial" w:hAnsi="Arial" w:cs="Arial"/>
          <w:u w:val="single"/>
        </w:rPr>
      </w:pPr>
      <w:r w:rsidRPr="00C922A6">
        <w:rPr>
          <w:rFonts w:ascii="Arial" w:hAnsi="Arial" w:cs="Arial"/>
        </w:rPr>
        <w:t xml:space="preserve">Portanto, </w:t>
      </w:r>
      <w:r w:rsidR="00C922A6" w:rsidRPr="00C922A6">
        <w:rPr>
          <w:rFonts w:ascii="Arial" w:hAnsi="Arial" w:cs="Arial"/>
        </w:rPr>
        <w:t>verificamos fazer-se presente caso de</w:t>
      </w:r>
      <w:r w:rsidRPr="00C922A6">
        <w:rPr>
          <w:rFonts w:ascii="Arial" w:hAnsi="Arial" w:cs="Arial"/>
        </w:rPr>
        <w:t xml:space="preserve"> terceirização </w:t>
      </w:r>
      <w:r w:rsidR="00C922A6" w:rsidRPr="00C922A6">
        <w:rPr>
          <w:rFonts w:ascii="Arial" w:hAnsi="Arial" w:cs="Arial"/>
        </w:rPr>
        <w:t>integral dessas áreas, em que pese</w:t>
      </w:r>
      <w:r w:rsidR="009C0C66">
        <w:rPr>
          <w:rFonts w:ascii="Arial" w:hAnsi="Arial" w:cs="Arial"/>
        </w:rPr>
        <w:t xml:space="preserve"> se </w:t>
      </w:r>
      <w:r w:rsidR="00C922A6" w:rsidRPr="00C922A6">
        <w:rPr>
          <w:rFonts w:ascii="Arial" w:hAnsi="Arial" w:cs="Arial"/>
        </w:rPr>
        <w:t>refiram a</w:t>
      </w:r>
      <w:r w:rsidRPr="00C922A6">
        <w:rPr>
          <w:rFonts w:ascii="Arial" w:hAnsi="Arial" w:cs="Arial"/>
        </w:rPr>
        <w:t xml:space="preserve"> função pública típica, permanente e contínua, de atribuição privativa da Advocacia Pública Municipal. </w:t>
      </w:r>
    </w:p>
    <w:p w:rsidR="00A92E7B" w:rsidRDefault="00A92E7B" w:rsidP="00A92E7B">
      <w:pPr>
        <w:widowControl w:val="0"/>
        <w:numPr>
          <w:ilvl w:val="0"/>
          <w:numId w:val="1"/>
        </w:numPr>
        <w:tabs>
          <w:tab w:val="clear" w:pos="2808"/>
          <w:tab w:val="num" w:pos="1418"/>
        </w:tabs>
        <w:spacing w:after="200" w:line="360" w:lineRule="auto"/>
        <w:ind w:left="0" w:firstLine="0"/>
        <w:jc w:val="both"/>
        <w:rPr>
          <w:rFonts w:ascii="Arial" w:hAnsi="Arial" w:cs="Arial"/>
        </w:rPr>
      </w:pPr>
      <w:r w:rsidRPr="00A72BD5">
        <w:rPr>
          <w:rFonts w:ascii="Arial" w:hAnsi="Arial" w:cs="Arial"/>
        </w:rPr>
        <w:t xml:space="preserve">Diante disso, </w:t>
      </w:r>
      <w:r w:rsidRPr="00C922A6">
        <w:rPr>
          <w:rFonts w:ascii="Arial" w:hAnsi="Arial" w:cs="Arial"/>
          <w:u w:val="single"/>
        </w:rPr>
        <w:t>entendemos que a licitação sob exame é irregular, pois o seu objeto representa a terceirização integral de parte dos serviços rotineiros da Administração, cuja execução compete aos servidores concursados integrantes da Advocacia Pública Municipal</w:t>
      </w:r>
      <w:r w:rsidRPr="00A72BD5">
        <w:rPr>
          <w:rFonts w:ascii="Arial" w:hAnsi="Arial" w:cs="Arial"/>
        </w:rPr>
        <w:t xml:space="preserve">, vinculados ao Poder Executivo ou </w:t>
      </w:r>
      <w:r>
        <w:rPr>
          <w:rFonts w:ascii="Arial" w:hAnsi="Arial" w:cs="Arial"/>
        </w:rPr>
        <w:t xml:space="preserve">às próprias entidades </w:t>
      </w:r>
      <w:r w:rsidRPr="00A72BD5">
        <w:rPr>
          <w:rFonts w:ascii="Arial" w:hAnsi="Arial" w:cs="Arial"/>
        </w:rPr>
        <w:t>da Administração Indireta.</w:t>
      </w:r>
    </w:p>
    <w:p w:rsidR="003D330A" w:rsidRPr="009C0C66" w:rsidRDefault="00B77AED" w:rsidP="00E477B1">
      <w:pPr>
        <w:widowControl w:val="0"/>
        <w:numPr>
          <w:ilvl w:val="0"/>
          <w:numId w:val="1"/>
        </w:numPr>
        <w:tabs>
          <w:tab w:val="clear" w:pos="2808"/>
          <w:tab w:val="left" w:pos="1418"/>
        </w:tabs>
        <w:spacing w:after="200" w:line="360" w:lineRule="auto"/>
        <w:ind w:left="0" w:firstLine="0"/>
        <w:jc w:val="both"/>
        <w:rPr>
          <w:rFonts w:ascii="Arial" w:hAnsi="Arial" w:cs="Arial"/>
        </w:rPr>
      </w:pPr>
      <w:r w:rsidRPr="009C0C66">
        <w:rPr>
          <w:rFonts w:ascii="Arial" w:hAnsi="Arial" w:cs="Arial"/>
        </w:rPr>
        <w:lastRenderedPageBreak/>
        <w:t xml:space="preserve">Assim, </w:t>
      </w:r>
      <w:r w:rsidRPr="009C0C66">
        <w:rPr>
          <w:rFonts w:ascii="Arial" w:hAnsi="Arial" w:cs="Arial"/>
          <w:u w:val="single"/>
        </w:rPr>
        <w:t>deve ser citado o Prefeito Municipal de Pedro Teixeira, Sr. Gilberto de Paula Reis</w:t>
      </w:r>
      <w:r w:rsidRPr="009C0C66">
        <w:rPr>
          <w:rFonts w:ascii="Arial" w:hAnsi="Arial" w:cs="Arial"/>
        </w:rPr>
        <w:t>, para apresentação de defesa e dos esclarecimentos que entender pertinentes.</w:t>
      </w:r>
      <w:r w:rsidR="003D330A" w:rsidRPr="009C0C66">
        <w:rPr>
          <w:rFonts w:ascii="Arial" w:hAnsi="Arial" w:cs="Arial"/>
        </w:rPr>
        <w:t xml:space="preserve"> </w:t>
      </w:r>
    </w:p>
    <w:p w:rsidR="00061354" w:rsidRDefault="003D330A" w:rsidP="009C0C66">
      <w:pPr>
        <w:numPr>
          <w:ilvl w:val="0"/>
          <w:numId w:val="1"/>
        </w:numPr>
        <w:tabs>
          <w:tab w:val="clear" w:pos="2808"/>
          <w:tab w:val="left" w:pos="1418"/>
        </w:tabs>
        <w:spacing w:after="200" w:line="360" w:lineRule="auto"/>
        <w:ind w:left="0" w:firstLine="0"/>
        <w:jc w:val="both"/>
        <w:rPr>
          <w:rFonts w:ascii="Arial" w:hAnsi="Arial" w:cs="Arial"/>
          <w:b/>
          <w:u w:val="single"/>
        </w:rPr>
      </w:pPr>
      <w:r w:rsidRPr="009C0C66">
        <w:rPr>
          <w:rFonts w:ascii="Arial" w:hAnsi="Arial" w:cs="Arial"/>
        </w:rPr>
        <w:t>Outrossim, aderimos à proposta da CAEL, concernente à recomendação à autoridade municipal para que providencie a realização de concurso público para provimento de cargos de procurador</w:t>
      </w:r>
      <w:r w:rsidR="00E477B1" w:rsidRPr="009C0C66">
        <w:rPr>
          <w:rFonts w:ascii="Arial" w:hAnsi="Arial" w:cs="Arial"/>
        </w:rPr>
        <w:t>, com a atribuição de promover a representação judicial e extrajudicial, bem como prestar os serviços de consultoria e assessoramento jurídico rotineiros do Município.</w:t>
      </w:r>
      <w:r w:rsidR="00E477B1" w:rsidRPr="009C0C66">
        <w:rPr>
          <w:rFonts w:ascii="Arial" w:hAnsi="Arial" w:cs="Arial"/>
          <w:color w:val="FF0000"/>
        </w:rPr>
        <w:t xml:space="preserve"> </w:t>
      </w:r>
    </w:p>
    <w:p w:rsidR="007C5B21" w:rsidRPr="005A711E" w:rsidRDefault="007C5B21" w:rsidP="007C5B21">
      <w:pPr>
        <w:widowControl w:val="0"/>
        <w:spacing w:after="200" w:line="360" w:lineRule="auto"/>
        <w:ind w:left="397"/>
        <w:jc w:val="center"/>
        <w:rPr>
          <w:rFonts w:ascii="Arial" w:hAnsi="Arial" w:cs="Arial"/>
          <w:b/>
          <w:u w:val="single"/>
        </w:rPr>
      </w:pPr>
      <w:r w:rsidRPr="005A711E">
        <w:rPr>
          <w:rFonts w:ascii="Arial" w:hAnsi="Arial" w:cs="Arial"/>
          <w:b/>
          <w:u w:val="single"/>
        </w:rPr>
        <w:t>CONCLUSÃO</w:t>
      </w:r>
    </w:p>
    <w:p w:rsidR="007C5B21" w:rsidRDefault="007C5B21" w:rsidP="007C5B21">
      <w:pPr>
        <w:numPr>
          <w:ilvl w:val="0"/>
          <w:numId w:val="1"/>
        </w:numPr>
        <w:tabs>
          <w:tab w:val="clear" w:pos="2808"/>
          <w:tab w:val="left" w:pos="1418"/>
        </w:tabs>
        <w:autoSpaceDE w:val="0"/>
        <w:autoSpaceDN w:val="0"/>
        <w:adjustRightInd w:val="0"/>
        <w:spacing w:before="120" w:after="120" w:line="360" w:lineRule="auto"/>
        <w:ind w:left="0" w:firstLine="0"/>
        <w:jc w:val="both"/>
        <w:rPr>
          <w:rFonts w:ascii="Arial" w:hAnsi="Arial" w:cs="Arial"/>
        </w:rPr>
      </w:pPr>
      <w:r>
        <w:rPr>
          <w:rFonts w:ascii="Arial" w:hAnsi="Arial" w:cs="Arial"/>
        </w:rPr>
        <w:t>Diante do</w:t>
      </w:r>
      <w:r w:rsidRPr="005A711E">
        <w:rPr>
          <w:rFonts w:ascii="Arial" w:hAnsi="Arial" w:cs="Arial"/>
        </w:rPr>
        <w:t xml:space="preserve"> exposto, </w:t>
      </w:r>
      <w:r>
        <w:rPr>
          <w:rFonts w:ascii="Arial" w:hAnsi="Arial" w:cs="Arial"/>
        </w:rPr>
        <w:t>o</w:t>
      </w:r>
      <w:r w:rsidRPr="005A711E">
        <w:rPr>
          <w:rFonts w:ascii="Arial" w:hAnsi="Arial" w:cs="Arial"/>
        </w:rPr>
        <w:t xml:space="preserve"> Min</w:t>
      </w:r>
      <w:r>
        <w:rPr>
          <w:rFonts w:ascii="Arial" w:hAnsi="Arial" w:cs="Arial"/>
        </w:rPr>
        <w:t>istério Público de Contas opina:</w:t>
      </w:r>
    </w:p>
    <w:p w:rsidR="007C5B21" w:rsidRDefault="007C5B21" w:rsidP="00403476">
      <w:pPr>
        <w:numPr>
          <w:ilvl w:val="0"/>
          <w:numId w:val="6"/>
        </w:numPr>
        <w:tabs>
          <w:tab w:val="clear" w:pos="2808"/>
          <w:tab w:val="left" w:pos="1418"/>
        </w:tabs>
        <w:autoSpaceDE w:val="0"/>
        <w:autoSpaceDN w:val="0"/>
        <w:adjustRightInd w:val="0"/>
        <w:spacing w:before="120" w:after="120" w:line="360" w:lineRule="auto"/>
        <w:ind w:left="0" w:firstLine="1701"/>
        <w:jc w:val="both"/>
        <w:rPr>
          <w:rFonts w:ascii="Arial" w:hAnsi="Arial" w:cs="Arial"/>
        </w:rPr>
      </w:pPr>
      <w:r>
        <w:rPr>
          <w:rFonts w:ascii="Arial" w:hAnsi="Arial" w:cs="Arial"/>
        </w:rPr>
        <w:t xml:space="preserve">pela </w:t>
      </w:r>
      <w:r w:rsidR="0084196E">
        <w:rPr>
          <w:rFonts w:ascii="Arial" w:hAnsi="Arial" w:cs="Arial"/>
        </w:rPr>
        <w:t>citação</w:t>
      </w:r>
      <w:r w:rsidR="005B7F39">
        <w:rPr>
          <w:rFonts w:ascii="Arial" w:hAnsi="Arial" w:cs="Arial"/>
        </w:rPr>
        <w:t xml:space="preserve"> do Sr. </w:t>
      </w:r>
      <w:r w:rsidR="00E477B1">
        <w:rPr>
          <w:rFonts w:ascii="Arial" w:hAnsi="Arial" w:cs="Arial"/>
        </w:rPr>
        <w:t>Gilberto de Paula Reis, Prefeito Municipal de Pedro Teixeira</w:t>
      </w:r>
      <w:r w:rsidR="005B7F39">
        <w:rPr>
          <w:rFonts w:ascii="Arial" w:hAnsi="Arial" w:cs="Arial"/>
        </w:rPr>
        <w:t>, para apresentação de defesa ou esclarecimentos acerca da irregularidade suscitada</w:t>
      </w:r>
      <w:r>
        <w:rPr>
          <w:rFonts w:ascii="Arial" w:hAnsi="Arial" w:cs="Arial"/>
        </w:rPr>
        <w:t>;</w:t>
      </w:r>
    </w:p>
    <w:p w:rsidR="007C5B21" w:rsidRPr="009B0891" w:rsidRDefault="005745FA" w:rsidP="00403476">
      <w:pPr>
        <w:numPr>
          <w:ilvl w:val="0"/>
          <w:numId w:val="6"/>
        </w:numPr>
        <w:tabs>
          <w:tab w:val="clear" w:pos="2808"/>
          <w:tab w:val="left" w:pos="1418"/>
        </w:tabs>
        <w:autoSpaceDE w:val="0"/>
        <w:autoSpaceDN w:val="0"/>
        <w:adjustRightInd w:val="0"/>
        <w:spacing w:before="120" w:after="120" w:line="360" w:lineRule="auto"/>
        <w:ind w:left="0" w:firstLine="1701"/>
        <w:jc w:val="both"/>
        <w:rPr>
          <w:rFonts w:ascii="Arial" w:hAnsi="Arial" w:cs="Arial"/>
        </w:rPr>
      </w:pPr>
      <w:r>
        <w:rPr>
          <w:rFonts w:ascii="Arial" w:hAnsi="Arial" w:cs="Arial"/>
        </w:rPr>
        <w:t xml:space="preserve">pela </w:t>
      </w:r>
      <w:r w:rsidR="00E477B1">
        <w:rPr>
          <w:rFonts w:ascii="Arial" w:hAnsi="Arial" w:cs="Arial"/>
        </w:rPr>
        <w:t xml:space="preserve">recomendação </w:t>
      </w:r>
      <w:r w:rsidR="00403476">
        <w:rPr>
          <w:rFonts w:ascii="Arial" w:hAnsi="Arial" w:cs="Arial"/>
        </w:rPr>
        <w:t>ao Prefeito Municipal para que adote providências para a realização de concurso público para provimento de cargos de procurador, para exercício das atividades jurídicas rotineiras do Município.</w:t>
      </w:r>
    </w:p>
    <w:p w:rsidR="007C5B21" w:rsidRPr="005A711E" w:rsidRDefault="007C5B21" w:rsidP="007C5B21">
      <w:pPr>
        <w:numPr>
          <w:ilvl w:val="0"/>
          <w:numId w:val="1"/>
        </w:numPr>
        <w:tabs>
          <w:tab w:val="clear" w:pos="2808"/>
          <w:tab w:val="num" w:pos="1418"/>
        </w:tabs>
        <w:autoSpaceDE w:val="0"/>
        <w:autoSpaceDN w:val="0"/>
        <w:adjustRightInd w:val="0"/>
        <w:spacing w:before="120" w:after="120" w:line="360" w:lineRule="auto"/>
        <w:ind w:left="1418" w:hanging="1418"/>
        <w:jc w:val="both"/>
        <w:rPr>
          <w:rFonts w:ascii="Arial" w:hAnsi="Arial" w:cs="Arial"/>
        </w:rPr>
      </w:pPr>
      <w:r w:rsidRPr="005A711E">
        <w:rPr>
          <w:rFonts w:ascii="Arial" w:hAnsi="Arial" w:cs="Arial"/>
        </w:rPr>
        <w:t>É o parecer.</w:t>
      </w:r>
    </w:p>
    <w:p w:rsidR="007C5B21" w:rsidRPr="005A711E" w:rsidRDefault="007C5B21" w:rsidP="007C5B21">
      <w:pPr>
        <w:spacing w:after="200" w:line="360" w:lineRule="auto"/>
        <w:jc w:val="center"/>
        <w:rPr>
          <w:rFonts w:ascii="Arial" w:hAnsi="Arial" w:cs="Arial"/>
        </w:rPr>
      </w:pPr>
      <w:r w:rsidRPr="005A711E">
        <w:rPr>
          <w:rFonts w:ascii="Arial" w:hAnsi="Arial" w:cs="Arial"/>
        </w:rPr>
        <w:t>Belo Horizonte,</w:t>
      </w:r>
      <w:r>
        <w:rPr>
          <w:rFonts w:ascii="Arial" w:hAnsi="Arial" w:cs="Arial"/>
        </w:rPr>
        <w:t xml:space="preserve"> </w:t>
      </w:r>
      <w:r w:rsidR="009C0C66">
        <w:rPr>
          <w:rFonts w:ascii="Arial" w:hAnsi="Arial" w:cs="Arial"/>
        </w:rPr>
        <w:t>11</w:t>
      </w:r>
      <w:r w:rsidR="004A4577">
        <w:rPr>
          <w:rFonts w:ascii="Arial" w:hAnsi="Arial" w:cs="Arial"/>
        </w:rPr>
        <w:t xml:space="preserve"> de </w:t>
      </w:r>
      <w:r w:rsidR="009C0C66">
        <w:rPr>
          <w:rFonts w:ascii="Arial" w:hAnsi="Arial" w:cs="Arial"/>
        </w:rPr>
        <w:t xml:space="preserve">março </w:t>
      </w:r>
      <w:r w:rsidR="004A4577">
        <w:rPr>
          <w:rFonts w:ascii="Arial" w:hAnsi="Arial" w:cs="Arial"/>
        </w:rPr>
        <w:t>de 2016</w:t>
      </w:r>
      <w:r>
        <w:rPr>
          <w:rFonts w:ascii="Arial" w:hAnsi="Arial" w:cs="Arial"/>
        </w:rPr>
        <w:t>.</w:t>
      </w:r>
    </w:p>
    <w:p w:rsidR="007C5B21" w:rsidRDefault="007C5B21" w:rsidP="007C5B21">
      <w:pPr>
        <w:tabs>
          <w:tab w:val="left" w:pos="8357"/>
        </w:tabs>
        <w:jc w:val="center"/>
        <w:rPr>
          <w:rFonts w:ascii="Arial" w:hAnsi="Arial" w:cs="Arial"/>
          <w:b/>
        </w:rPr>
      </w:pPr>
    </w:p>
    <w:p w:rsidR="007314B0" w:rsidRDefault="007314B0" w:rsidP="007C5B21">
      <w:pPr>
        <w:tabs>
          <w:tab w:val="left" w:pos="8357"/>
        </w:tabs>
        <w:jc w:val="center"/>
        <w:rPr>
          <w:rFonts w:ascii="Arial" w:hAnsi="Arial" w:cs="Arial"/>
          <w:b/>
        </w:rPr>
      </w:pPr>
    </w:p>
    <w:p w:rsidR="007C5B21" w:rsidRPr="005A711E" w:rsidRDefault="007C5B21" w:rsidP="007C5B21">
      <w:pPr>
        <w:tabs>
          <w:tab w:val="left" w:pos="8357"/>
        </w:tabs>
        <w:jc w:val="center"/>
        <w:rPr>
          <w:rFonts w:ascii="Arial" w:hAnsi="Arial" w:cs="Arial"/>
          <w:b/>
        </w:rPr>
      </w:pPr>
      <w:r w:rsidRPr="005A711E">
        <w:rPr>
          <w:rFonts w:ascii="Arial" w:hAnsi="Arial" w:cs="Arial"/>
          <w:b/>
        </w:rPr>
        <w:t>Sara Meinberg</w:t>
      </w:r>
    </w:p>
    <w:p w:rsidR="00262A2C" w:rsidRPr="002A16B0" w:rsidRDefault="007C5B21" w:rsidP="002A16B0">
      <w:pPr>
        <w:tabs>
          <w:tab w:val="left" w:pos="8357"/>
        </w:tabs>
        <w:jc w:val="center"/>
        <w:rPr>
          <w:sz w:val="18"/>
          <w:szCs w:val="18"/>
        </w:rPr>
      </w:pPr>
      <w:r w:rsidRPr="005A711E">
        <w:rPr>
          <w:rFonts w:ascii="Arial" w:hAnsi="Arial" w:cs="Arial"/>
          <w:sz w:val="18"/>
          <w:szCs w:val="18"/>
        </w:rPr>
        <w:t>Procuradora do Ministério Público de Contas</w:t>
      </w:r>
    </w:p>
    <w:sectPr w:rsidR="00262A2C" w:rsidRPr="002A16B0" w:rsidSect="00EE7982">
      <w:headerReference w:type="default" r:id="rId8"/>
      <w:footerReference w:type="default" r:id="rId9"/>
      <w:pgSz w:w="11906" w:h="16838" w:code="9"/>
      <w:pgMar w:top="782" w:right="1701" w:bottom="1134" w:left="1134" w:header="680" w:footer="680" w:gutter="0"/>
      <w:pgNumType w:start="48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AD5" w:rsidRDefault="00FC2AD5" w:rsidP="00995224">
      <w:r>
        <w:separator/>
      </w:r>
    </w:p>
  </w:endnote>
  <w:endnote w:type="continuationSeparator" w:id="0">
    <w:p w:rsidR="00FC2AD5" w:rsidRDefault="00FC2AD5" w:rsidP="00995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FFFF" w:usb2="FFC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142" w:rsidRPr="007A78ED" w:rsidRDefault="00F67142" w:rsidP="004F6959">
    <w:pPr>
      <w:pStyle w:val="Rodap"/>
      <w:tabs>
        <w:tab w:val="clear" w:pos="4252"/>
        <w:tab w:val="clear" w:pos="8504"/>
        <w:tab w:val="center" w:pos="4535"/>
      </w:tabs>
      <w:rPr>
        <w:sz w:val="16"/>
        <w:szCs w:val="16"/>
      </w:rPr>
    </w:pPr>
    <w:r>
      <w:rPr>
        <w:sz w:val="16"/>
        <w:szCs w:val="16"/>
      </w:rPr>
      <w:t>896389 mba</w:t>
    </w: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AD5" w:rsidRDefault="00FC2AD5" w:rsidP="00995224">
      <w:r>
        <w:separator/>
      </w:r>
    </w:p>
  </w:footnote>
  <w:footnote w:type="continuationSeparator" w:id="0">
    <w:p w:rsidR="00FC2AD5" w:rsidRDefault="00FC2AD5" w:rsidP="00995224">
      <w:r>
        <w:continuationSeparator/>
      </w:r>
    </w:p>
  </w:footnote>
  <w:footnote w:id="1">
    <w:p w:rsidR="00F67142" w:rsidRPr="00B22DEF" w:rsidRDefault="00F67142" w:rsidP="00B22DEF">
      <w:pPr>
        <w:pStyle w:val="Textodenotaderodap"/>
        <w:rPr>
          <w:rFonts w:ascii="Arial" w:hAnsi="Arial" w:cs="Arial"/>
          <w:sz w:val="18"/>
          <w:szCs w:val="18"/>
        </w:rPr>
      </w:pPr>
      <w:r w:rsidRPr="00B22DEF">
        <w:rPr>
          <w:rStyle w:val="Refdenotaderodap"/>
          <w:rFonts w:ascii="Arial" w:hAnsi="Arial" w:cs="Arial"/>
          <w:sz w:val="18"/>
          <w:szCs w:val="18"/>
        </w:rPr>
        <w:footnoteRef/>
      </w:r>
      <w:r w:rsidRPr="00B22DEF">
        <w:rPr>
          <w:rFonts w:ascii="Arial" w:hAnsi="Arial" w:cs="Arial"/>
          <w:sz w:val="18"/>
          <w:szCs w:val="18"/>
        </w:rPr>
        <w:t xml:space="preserve"> Disponível em: http://portal2.tcu.gov.br/portal/page/portal/TCU/jurisprudencia/informativos/info_licitacoes.</w:t>
      </w:r>
    </w:p>
  </w:footnote>
  <w:footnote w:id="2">
    <w:p w:rsidR="00F67142" w:rsidRPr="00B22DEF" w:rsidRDefault="00F67142" w:rsidP="00B22DEF">
      <w:pPr>
        <w:pStyle w:val="Textodenotaderodap"/>
        <w:jc w:val="both"/>
        <w:rPr>
          <w:rFonts w:ascii="Arial" w:hAnsi="Arial" w:cs="Arial"/>
          <w:sz w:val="18"/>
          <w:szCs w:val="18"/>
        </w:rPr>
      </w:pPr>
      <w:r w:rsidRPr="00B22DEF">
        <w:rPr>
          <w:rStyle w:val="Refdenotaderodap"/>
          <w:rFonts w:ascii="Arial" w:hAnsi="Arial" w:cs="Arial"/>
          <w:sz w:val="18"/>
          <w:szCs w:val="18"/>
        </w:rPr>
        <w:footnoteRef/>
      </w:r>
      <w:r w:rsidRPr="00B22DEF">
        <w:rPr>
          <w:rFonts w:ascii="Arial" w:hAnsi="Arial" w:cs="Arial"/>
          <w:sz w:val="18"/>
          <w:szCs w:val="18"/>
        </w:rPr>
        <w:t xml:space="preserve"> </w:t>
      </w:r>
      <w:r>
        <w:rPr>
          <w:rFonts w:ascii="Arial" w:hAnsi="Arial" w:cs="Arial"/>
          <w:sz w:val="18"/>
          <w:szCs w:val="18"/>
        </w:rPr>
        <w:t>Tribunal de Contas do Estado de Minas Gerais. Consulta nº 888.126. Tribunal Pleno. Rel. Cons. Wanderley Ávila. Sessão de 08/08/2013.</w:t>
      </w:r>
    </w:p>
  </w:footnote>
  <w:footnote w:id="3">
    <w:p w:rsidR="00F67142" w:rsidRPr="000469A1" w:rsidRDefault="00F67142" w:rsidP="000469A1">
      <w:pPr>
        <w:pStyle w:val="Textodenotaderodap"/>
        <w:jc w:val="both"/>
        <w:rPr>
          <w:rFonts w:ascii="Arial" w:hAnsi="Arial" w:cs="Arial"/>
          <w:sz w:val="18"/>
          <w:szCs w:val="18"/>
        </w:rPr>
      </w:pPr>
      <w:r w:rsidRPr="000469A1">
        <w:rPr>
          <w:rStyle w:val="Refdenotaderodap"/>
          <w:rFonts w:ascii="Arial" w:hAnsi="Arial" w:cs="Arial"/>
          <w:sz w:val="18"/>
          <w:szCs w:val="18"/>
        </w:rPr>
        <w:footnoteRef/>
      </w:r>
      <w:r w:rsidRPr="000469A1">
        <w:rPr>
          <w:rFonts w:ascii="Arial" w:hAnsi="Arial" w:cs="Arial"/>
          <w:sz w:val="18"/>
          <w:szCs w:val="18"/>
        </w:rPr>
        <w:t xml:space="preserve"> MOTTA, Calos Pinto Coelho. Curso prático de </w:t>
      </w:r>
      <w:r>
        <w:rPr>
          <w:rFonts w:ascii="Arial" w:hAnsi="Arial" w:cs="Arial"/>
          <w:sz w:val="18"/>
          <w:szCs w:val="18"/>
        </w:rPr>
        <w:t>D</w:t>
      </w:r>
      <w:r w:rsidRPr="000469A1">
        <w:rPr>
          <w:rFonts w:ascii="Arial" w:hAnsi="Arial" w:cs="Arial"/>
          <w:sz w:val="18"/>
          <w:szCs w:val="18"/>
        </w:rPr>
        <w:t xml:space="preserve">ireito </w:t>
      </w:r>
      <w:r>
        <w:rPr>
          <w:rFonts w:ascii="Arial" w:hAnsi="Arial" w:cs="Arial"/>
          <w:sz w:val="18"/>
          <w:szCs w:val="18"/>
        </w:rPr>
        <w:t>A</w:t>
      </w:r>
      <w:r w:rsidRPr="000469A1">
        <w:rPr>
          <w:rFonts w:ascii="Arial" w:hAnsi="Arial" w:cs="Arial"/>
          <w:sz w:val="18"/>
          <w:szCs w:val="18"/>
        </w:rPr>
        <w:t>dministrativo. 3 ed. Belo Horizonte: Del Rey, 2011</w:t>
      </w:r>
      <w:r>
        <w:rPr>
          <w:rFonts w:ascii="Arial" w:hAnsi="Arial" w:cs="Arial"/>
          <w:sz w:val="18"/>
          <w:szCs w:val="18"/>
        </w:rPr>
        <w:t xml:space="preserve">, </w:t>
      </w:r>
      <w:r w:rsidRPr="000469A1">
        <w:rPr>
          <w:rFonts w:ascii="Arial" w:hAnsi="Arial" w:cs="Arial"/>
          <w:sz w:val="18"/>
          <w:szCs w:val="18"/>
        </w:rPr>
        <w:t>p. 153</w:t>
      </w:r>
      <w:r>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1" w:type="dxa"/>
      <w:tblLayout w:type="fixed"/>
      <w:tblCellMar>
        <w:left w:w="70" w:type="dxa"/>
        <w:right w:w="70" w:type="dxa"/>
      </w:tblCellMar>
      <w:tblLook w:val="0000"/>
    </w:tblPr>
    <w:tblGrid>
      <w:gridCol w:w="7870"/>
      <w:gridCol w:w="1341"/>
    </w:tblGrid>
    <w:tr w:rsidR="00F67142" w:rsidTr="004F6959">
      <w:trPr>
        <w:trHeight w:val="852"/>
      </w:trPr>
      <w:tc>
        <w:tcPr>
          <w:tcW w:w="7870" w:type="dxa"/>
        </w:tcPr>
        <w:p w:rsidR="00F67142" w:rsidRDefault="00F67142">
          <w:pPr>
            <w:pStyle w:val="Cabealho"/>
            <w:rPr>
              <w:sz w:val="16"/>
            </w:rPr>
          </w:pPr>
          <w:r>
            <w:t xml:space="preserve">                                                     </w:t>
          </w:r>
          <w:r w:rsidRPr="00954ED0">
            <w:rPr>
              <w:noProof/>
            </w:rPr>
            <w:drawing>
              <wp:inline distT="0" distB="0" distL="0" distR="0">
                <wp:extent cx="758825" cy="724535"/>
                <wp:effectExtent l="19050" t="0" r="317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58825" cy="724535"/>
                        </a:xfrm>
                        <a:prstGeom prst="rect">
                          <a:avLst/>
                        </a:prstGeom>
                        <a:noFill/>
                        <a:ln w="9525">
                          <a:noFill/>
                          <a:miter lim="800000"/>
                          <a:headEnd/>
                          <a:tailEnd/>
                        </a:ln>
                      </pic:spPr>
                    </pic:pic>
                  </a:graphicData>
                </a:graphic>
              </wp:inline>
            </w:drawing>
          </w:r>
        </w:p>
      </w:tc>
      <w:tc>
        <w:tcPr>
          <w:tcW w:w="1341" w:type="dxa"/>
        </w:tcPr>
        <w:p w:rsidR="00F67142" w:rsidRDefault="00F67142">
          <w:pPr>
            <w:jc w:val="center"/>
            <w:rPr>
              <w:sz w:val="16"/>
            </w:rPr>
          </w:pPr>
        </w:p>
        <w:p w:rsidR="00F67142" w:rsidRDefault="00F67142" w:rsidP="004F6959">
          <w:pPr>
            <w:pStyle w:val="Cabealho"/>
            <w:jc w:val="center"/>
            <w:rPr>
              <w:sz w:val="16"/>
            </w:rPr>
          </w:pPr>
        </w:p>
      </w:tc>
    </w:tr>
    <w:tr w:rsidR="00F67142" w:rsidTr="004F6959">
      <w:tc>
        <w:tcPr>
          <w:tcW w:w="9211" w:type="dxa"/>
          <w:gridSpan w:val="2"/>
        </w:tcPr>
        <w:p w:rsidR="00F67142" w:rsidRDefault="00F67142" w:rsidP="004F6959">
          <w:pPr>
            <w:pStyle w:val="Cabealho"/>
            <w:spacing w:before="120"/>
            <w:jc w:val="center"/>
            <w:rPr>
              <w:b/>
              <w:sz w:val="20"/>
            </w:rPr>
          </w:pPr>
          <w:r>
            <w:rPr>
              <w:b/>
              <w:sz w:val="20"/>
            </w:rPr>
            <w:t>MINISTÉRIO PÚBLICO DE CONTAS DO ESTADO DE MINAS GERAIS</w:t>
          </w:r>
        </w:p>
        <w:p w:rsidR="00F67142" w:rsidRDefault="00F67142" w:rsidP="004F6959">
          <w:pPr>
            <w:pStyle w:val="Cabealho"/>
            <w:spacing w:before="120"/>
            <w:jc w:val="center"/>
            <w:rPr>
              <w:sz w:val="16"/>
            </w:rPr>
          </w:pPr>
          <w:r>
            <w:rPr>
              <w:b/>
              <w:sz w:val="20"/>
            </w:rPr>
            <w:t>Gabinete da Procuradora Sara Meinberg</w:t>
          </w:r>
        </w:p>
      </w:tc>
    </w:tr>
  </w:tbl>
  <w:p w:rsidR="00F67142" w:rsidRDefault="00F67142">
    <w:pPr>
      <w:pStyle w:val="Cabealho"/>
      <w:rPr>
        <w:b/>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1C03920"/>
    <w:name w:val="WW8Num34"/>
    <w:lvl w:ilvl="0">
      <w:start w:val="1"/>
      <w:numFmt w:val="decimal"/>
      <w:lvlText w:val="%1."/>
      <w:lvlJc w:val="left"/>
      <w:pPr>
        <w:tabs>
          <w:tab w:val="num" w:pos="2808"/>
        </w:tabs>
        <w:ind w:left="2808" w:hanging="397"/>
      </w:pPr>
      <w:rPr>
        <w:b w:val="0"/>
        <w:i w:val="0"/>
        <w:strike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783813"/>
    <w:multiLevelType w:val="hybridMultilevel"/>
    <w:tmpl w:val="EDEE5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FC3598"/>
    <w:multiLevelType w:val="multilevel"/>
    <w:tmpl w:val="741CF936"/>
    <w:lvl w:ilvl="0">
      <w:start w:val="1"/>
      <w:numFmt w:val="lowerLetter"/>
      <w:lvlText w:val="%1)"/>
      <w:lvlJc w:val="left"/>
      <w:pPr>
        <w:tabs>
          <w:tab w:val="num" w:pos="2808"/>
        </w:tabs>
        <w:ind w:left="2808" w:hanging="397"/>
      </w:pPr>
      <w:rPr>
        <w:b w:val="0"/>
        <w:i w:val="0"/>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5926878"/>
    <w:multiLevelType w:val="multilevel"/>
    <w:tmpl w:val="44F4954E"/>
    <w:lvl w:ilvl="0">
      <w:start w:val="1"/>
      <w:numFmt w:val="lowerLetter"/>
      <w:lvlText w:val="%1)"/>
      <w:lvlJc w:val="left"/>
      <w:pPr>
        <w:tabs>
          <w:tab w:val="num" w:pos="965"/>
        </w:tabs>
        <w:ind w:left="965" w:hanging="397"/>
      </w:pPr>
      <w:rPr>
        <w:b w:val="0"/>
        <w:i w:val="0"/>
        <w:strike w:val="0"/>
        <w:color w:val="auto"/>
        <w:sz w:val="24"/>
        <w:szCs w:val="24"/>
      </w:rPr>
    </w:lvl>
    <w:lvl w:ilvl="1">
      <w:start w:val="1"/>
      <w:numFmt w:val="lowerLetter"/>
      <w:lvlText w:val="%2."/>
      <w:lvlJc w:val="left"/>
      <w:pPr>
        <w:tabs>
          <w:tab w:val="num" w:pos="6117"/>
        </w:tabs>
        <w:ind w:left="6117" w:hanging="360"/>
      </w:pPr>
    </w:lvl>
    <w:lvl w:ilvl="2">
      <w:start w:val="1"/>
      <w:numFmt w:val="lowerRoman"/>
      <w:lvlText w:val="%3."/>
      <w:lvlJc w:val="right"/>
      <w:pPr>
        <w:tabs>
          <w:tab w:val="num" w:pos="6837"/>
        </w:tabs>
        <w:ind w:left="6837" w:hanging="180"/>
      </w:pPr>
    </w:lvl>
    <w:lvl w:ilvl="3">
      <w:start w:val="1"/>
      <w:numFmt w:val="decimal"/>
      <w:lvlText w:val="%4."/>
      <w:lvlJc w:val="left"/>
      <w:pPr>
        <w:tabs>
          <w:tab w:val="num" w:pos="7557"/>
        </w:tabs>
        <w:ind w:left="7557" w:hanging="360"/>
      </w:pPr>
    </w:lvl>
    <w:lvl w:ilvl="4">
      <w:start w:val="1"/>
      <w:numFmt w:val="lowerLetter"/>
      <w:lvlText w:val="%5."/>
      <w:lvlJc w:val="left"/>
      <w:pPr>
        <w:tabs>
          <w:tab w:val="num" w:pos="8277"/>
        </w:tabs>
        <w:ind w:left="8277" w:hanging="360"/>
      </w:pPr>
    </w:lvl>
    <w:lvl w:ilvl="5">
      <w:start w:val="1"/>
      <w:numFmt w:val="lowerRoman"/>
      <w:lvlText w:val="%6."/>
      <w:lvlJc w:val="right"/>
      <w:pPr>
        <w:tabs>
          <w:tab w:val="num" w:pos="8997"/>
        </w:tabs>
        <w:ind w:left="8997" w:hanging="180"/>
      </w:pPr>
    </w:lvl>
    <w:lvl w:ilvl="6">
      <w:start w:val="1"/>
      <w:numFmt w:val="decimal"/>
      <w:lvlText w:val="%7."/>
      <w:lvlJc w:val="left"/>
      <w:pPr>
        <w:tabs>
          <w:tab w:val="num" w:pos="9717"/>
        </w:tabs>
        <w:ind w:left="9717" w:hanging="360"/>
      </w:pPr>
    </w:lvl>
    <w:lvl w:ilvl="7">
      <w:start w:val="1"/>
      <w:numFmt w:val="lowerLetter"/>
      <w:lvlText w:val="%8."/>
      <w:lvlJc w:val="left"/>
      <w:pPr>
        <w:tabs>
          <w:tab w:val="num" w:pos="10437"/>
        </w:tabs>
        <w:ind w:left="10437" w:hanging="360"/>
      </w:pPr>
    </w:lvl>
    <w:lvl w:ilvl="8">
      <w:start w:val="1"/>
      <w:numFmt w:val="lowerRoman"/>
      <w:lvlText w:val="%9."/>
      <w:lvlJc w:val="right"/>
      <w:pPr>
        <w:tabs>
          <w:tab w:val="num" w:pos="11157"/>
        </w:tabs>
        <w:ind w:left="11157" w:hanging="180"/>
      </w:pPr>
    </w:lvl>
  </w:abstractNum>
  <w:abstractNum w:abstractNumId="4">
    <w:nsid w:val="446C36CD"/>
    <w:multiLevelType w:val="hybridMultilevel"/>
    <w:tmpl w:val="D95C49E2"/>
    <w:lvl w:ilvl="0" w:tplc="5FC0C5F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0317E04"/>
    <w:multiLevelType w:val="hybridMultilevel"/>
    <w:tmpl w:val="35067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7C0760B"/>
    <w:multiLevelType w:val="hybridMultilevel"/>
    <w:tmpl w:val="93EC3A26"/>
    <w:lvl w:ilvl="0" w:tplc="294A7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6BFD19FC"/>
    <w:multiLevelType w:val="hybridMultilevel"/>
    <w:tmpl w:val="76BEE392"/>
    <w:lvl w:ilvl="0" w:tplc="CD08524E">
      <w:start w:val="1"/>
      <w:numFmt w:val="decimal"/>
      <w:lvlText w:val="%1."/>
      <w:lvlJc w:val="left"/>
      <w:pPr>
        <w:tabs>
          <w:tab w:val="num" w:pos="539"/>
        </w:tabs>
        <w:ind w:left="539" w:hanging="397"/>
      </w:pPr>
      <w:rPr>
        <w:rFonts w:ascii="Arial" w:hAnsi="Arial" w:cs="Arial" w:hint="default"/>
        <w:b/>
        <w:i w:val="0"/>
        <w:strike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5"/>
  </w:num>
  <w:num w:numId="5">
    <w:abstractNumId w:val="7"/>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hideSpellingErrors/>
  <w:hideGrammaticalErrors/>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95224"/>
    <w:rsid w:val="00012B19"/>
    <w:rsid w:val="0001304D"/>
    <w:rsid w:val="00013CB9"/>
    <w:rsid w:val="00015724"/>
    <w:rsid w:val="0001670F"/>
    <w:rsid w:val="000262FB"/>
    <w:rsid w:val="00031206"/>
    <w:rsid w:val="0003300A"/>
    <w:rsid w:val="0003732A"/>
    <w:rsid w:val="000469A1"/>
    <w:rsid w:val="0005273C"/>
    <w:rsid w:val="00061354"/>
    <w:rsid w:val="00073E61"/>
    <w:rsid w:val="00086CA9"/>
    <w:rsid w:val="00094760"/>
    <w:rsid w:val="000A6834"/>
    <w:rsid w:val="000B23AF"/>
    <w:rsid w:val="000B6601"/>
    <w:rsid w:val="000B7F5B"/>
    <w:rsid w:val="000C42CF"/>
    <w:rsid w:val="000D3CF5"/>
    <w:rsid w:val="000D587E"/>
    <w:rsid w:val="000F67B5"/>
    <w:rsid w:val="00114E6D"/>
    <w:rsid w:val="00123F92"/>
    <w:rsid w:val="00140411"/>
    <w:rsid w:val="00142062"/>
    <w:rsid w:val="001437B2"/>
    <w:rsid w:val="001560FA"/>
    <w:rsid w:val="0016282F"/>
    <w:rsid w:val="0016359C"/>
    <w:rsid w:val="0017258B"/>
    <w:rsid w:val="00182365"/>
    <w:rsid w:val="00190014"/>
    <w:rsid w:val="001918CA"/>
    <w:rsid w:val="001966B0"/>
    <w:rsid w:val="001A5B1C"/>
    <w:rsid w:val="001B1A4E"/>
    <w:rsid w:val="001B7E6A"/>
    <w:rsid w:val="001C03F6"/>
    <w:rsid w:val="001D2F30"/>
    <w:rsid w:val="001D37BE"/>
    <w:rsid w:val="001D7A66"/>
    <w:rsid w:val="001E3582"/>
    <w:rsid w:val="001E7D2D"/>
    <w:rsid w:val="001F0E2F"/>
    <w:rsid w:val="001F74F1"/>
    <w:rsid w:val="00216085"/>
    <w:rsid w:val="00217D72"/>
    <w:rsid w:val="00262A2C"/>
    <w:rsid w:val="002752FC"/>
    <w:rsid w:val="00282B49"/>
    <w:rsid w:val="00285A3B"/>
    <w:rsid w:val="002867F1"/>
    <w:rsid w:val="002938AF"/>
    <w:rsid w:val="002A16B0"/>
    <w:rsid w:val="002B0DB8"/>
    <w:rsid w:val="002C1591"/>
    <w:rsid w:val="002C6D4F"/>
    <w:rsid w:val="002D217E"/>
    <w:rsid w:val="002E14DA"/>
    <w:rsid w:val="002E6420"/>
    <w:rsid w:val="002F1E86"/>
    <w:rsid w:val="00306BF5"/>
    <w:rsid w:val="00310D0B"/>
    <w:rsid w:val="003305DA"/>
    <w:rsid w:val="0033765D"/>
    <w:rsid w:val="0034601D"/>
    <w:rsid w:val="00347394"/>
    <w:rsid w:val="00350587"/>
    <w:rsid w:val="00357AA0"/>
    <w:rsid w:val="00373530"/>
    <w:rsid w:val="00382051"/>
    <w:rsid w:val="00383846"/>
    <w:rsid w:val="0038459B"/>
    <w:rsid w:val="0038705A"/>
    <w:rsid w:val="003903D0"/>
    <w:rsid w:val="00395705"/>
    <w:rsid w:val="003A007C"/>
    <w:rsid w:val="003A08EB"/>
    <w:rsid w:val="003C1062"/>
    <w:rsid w:val="003C153B"/>
    <w:rsid w:val="003C4233"/>
    <w:rsid w:val="003D330A"/>
    <w:rsid w:val="003D4656"/>
    <w:rsid w:val="003D7E92"/>
    <w:rsid w:val="003F63B3"/>
    <w:rsid w:val="00403476"/>
    <w:rsid w:val="0040430D"/>
    <w:rsid w:val="00405F92"/>
    <w:rsid w:val="0041194F"/>
    <w:rsid w:val="00420EB6"/>
    <w:rsid w:val="0042278B"/>
    <w:rsid w:val="004505B8"/>
    <w:rsid w:val="00452CCF"/>
    <w:rsid w:val="004604C3"/>
    <w:rsid w:val="00462539"/>
    <w:rsid w:val="00480DD7"/>
    <w:rsid w:val="00482719"/>
    <w:rsid w:val="00483848"/>
    <w:rsid w:val="004854A0"/>
    <w:rsid w:val="004A4577"/>
    <w:rsid w:val="004A7010"/>
    <w:rsid w:val="004C027B"/>
    <w:rsid w:val="004C2F66"/>
    <w:rsid w:val="004C5CA0"/>
    <w:rsid w:val="004C6DA8"/>
    <w:rsid w:val="004D4CC6"/>
    <w:rsid w:val="004E3AE1"/>
    <w:rsid w:val="004E3E45"/>
    <w:rsid w:val="004E6ACE"/>
    <w:rsid w:val="004F1609"/>
    <w:rsid w:val="004F2F8F"/>
    <w:rsid w:val="004F6959"/>
    <w:rsid w:val="005003F6"/>
    <w:rsid w:val="00500653"/>
    <w:rsid w:val="0050332E"/>
    <w:rsid w:val="00503A5E"/>
    <w:rsid w:val="005113CF"/>
    <w:rsid w:val="005121F2"/>
    <w:rsid w:val="00534E23"/>
    <w:rsid w:val="0053513E"/>
    <w:rsid w:val="005410F4"/>
    <w:rsid w:val="00551E65"/>
    <w:rsid w:val="005745FA"/>
    <w:rsid w:val="00592DB7"/>
    <w:rsid w:val="005A1A77"/>
    <w:rsid w:val="005A3103"/>
    <w:rsid w:val="005B191F"/>
    <w:rsid w:val="005B4CC8"/>
    <w:rsid w:val="005B5931"/>
    <w:rsid w:val="005B61A4"/>
    <w:rsid w:val="005B7F39"/>
    <w:rsid w:val="005C0FAE"/>
    <w:rsid w:val="005C26C3"/>
    <w:rsid w:val="005C614E"/>
    <w:rsid w:val="005C7F65"/>
    <w:rsid w:val="005D281A"/>
    <w:rsid w:val="005D333B"/>
    <w:rsid w:val="005E1C05"/>
    <w:rsid w:val="005E5FBD"/>
    <w:rsid w:val="005E6AC8"/>
    <w:rsid w:val="006219D2"/>
    <w:rsid w:val="00627A18"/>
    <w:rsid w:val="00631812"/>
    <w:rsid w:val="006341A2"/>
    <w:rsid w:val="00640CAB"/>
    <w:rsid w:val="006529BA"/>
    <w:rsid w:val="0065688B"/>
    <w:rsid w:val="00661552"/>
    <w:rsid w:val="0066278E"/>
    <w:rsid w:val="0067119C"/>
    <w:rsid w:val="00675871"/>
    <w:rsid w:val="006A4536"/>
    <w:rsid w:val="006A61E1"/>
    <w:rsid w:val="006C7B48"/>
    <w:rsid w:val="006E27F5"/>
    <w:rsid w:val="006F12C9"/>
    <w:rsid w:val="006F470C"/>
    <w:rsid w:val="007026DE"/>
    <w:rsid w:val="00716712"/>
    <w:rsid w:val="0071702E"/>
    <w:rsid w:val="00720563"/>
    <w:rsid w:val="00730A95"/>
    <w:rsid w:val="007314B0"/>
    <w:rsid w:val="00733F6A"/>
    <w:rsid w:val="00736261"/>
    <w:rsid w:val="00743FC7"/>
    <w:rsid w:val="00745A2F"/>
    <w:rsid w:val="00754849"/>
    <w:rsid w:val="00765939"/>
    <w:rsid w:val="00780160"/>
    <w:rsid w:val="0079162A"/>
    <w:rsid w:val="007A1454"/>
    <w:rsid w:val="007A6EDB"/>
    <w:rsid w:val="007B1DA8"/>
    <w:rsid w:val="007B3379"/>
    <w:rsid w:val="007C5706"/>
    <w:rsid w:val="007C5B21"/>
    <w:rsid w:val="007D0E1D"/>
    <w:rsid w:val="007F024D"/>
    <w:rsid w:val="007F272B"/>
    <w:rsid w:val="00800C23"/>
    <w:rsid w:val="00811AF1"/>
    <w:rsid w:val="0081558E"/>
    <w:rsid w:val="00822BE5"/>
    <w:rsid w:val="00827455"/>
    <w:rsid w:val="0083559E"/>
    <w:rsid w:val="0084196E"/>
    <w:rsid w:val="00855373"/>
    <w:rsid w:val="00857942"/>
    <w:rsid w:val="008664FF"/>
    <w:rsid w:val="00895766"/>
    <w:rsid w:val="008A50EB"/>
    <w:rsid w:val="008B06A8"/>
    <w:rsid w:val="008B11F5"/>
    <w:rsid w:val="008B311D"/>
    <w:rsid w:val="008F1780"/>
    <w:rsid w:val="008F326D"/>
    <w:rsid w:val="008F6EE1"/>
    <w:rsid w:val="008F6F02"/>
    <w:rsid w:val="008F6F81"/>
    <w:rsid w:val="00913DCE"/>
    <w:rsid w:val="00916D54"/>
    <w:rsid w:val="009328BB"/>
    <w:rsid w:val="00937ABA"/>
    <w:rsid w:val="009474F6"/>
    <w:rsid w:val="00956F03"/>
    <w:rsid w:val="0097202E"/>
    <w:rsid w:val="00983473"/>
    <w:rsid w:val="00995224"/>
    <w:rsid w:val="009967A5"/>
    <w:rsid w:val="00996ACF"/>
    <w:rsid w:val="009975F1"/>
    <w:rsid w:val="009B0891"/>
    <w:rsid w:val="009B476F"/>
    <w:rsid w:val="009B4942"/>
    <w:rsid w:val="009B7C33"/>
    <w:rsid w:val="009C0C66"/>
    <w:rsid w:val="009C5289"/>
    <w:rsid w:val="009D1432"/>
    <w:rsid w:val="009F3909"/>
    <w:rsid w:val="00A0648E"/>
    <w:rsid w:val="00A30E97"/>
    <w:rsid w:val="00A34D01"/>
    <w:rsid w:val="00A37839"/>
    <w:rsid w:val="00A37F70"/>
    <w:rsid w:val="00A61AE4"/>
    <w:rsid w:val="00A72245"/>
    <w:rsid w:val="00A7281B"/>
    <w:rsid w:val="00A74A37"/>
    <w:rsid w:val="00A84993"/>
    <w:rsid w:val="00A92E7B"/>
    <w:rsid w:val="00A96A5A"/>
    <w:rsid w:val="00AA4EE9"/>
    <w:rsid w:val="00AA4FAF"/>
    <w:rsid w:val="00AC4281"/>
    <w:rsid w:val="00AD2E98"/>
    <w:rsid w:val="00AD5DE6"/>
    <w:rsid w:val="00AD6860"/>
    <w:rsid w:val="00AE17C4"/>
    <w:rsid w:val="00AE401C"/>
    <w:rsid w:val="00AF0F57"/>
    <w:rsid w:val="00AF1C25"/>
    <w:rsid w:val="00AF2858"/>
    <w:rsid w:val="00B07259"/>
    <w:rsid w:val="00B22DEF"/>
    <w:rsid w:val="00B3179C"/>
    <w:rsid w:val="00B34338"/>
    <w:rsid w:val="00B46E79"/>
    <w:rsid w:val="00B72665"/>
    <w:rsid w:val="00B72C1E"/>
    <w:rsid w:val="00B77AED"/>
    <w:rsid w:val="00B83052"/>
    <w:rsid w:val="00BB0060"/>
    <w:rsid w:val="00BC0AD6"/>
    <w:rsid w:val="00BC7D33"/>
    <w:rsid w:val="00BD173F"/>
    <w:rsid w:val="00BD5DCA"/>
    <w:rsid w:val="00BF2298"/>
    <w:rsid w:val="00BF4E54"/>
    <w:rsid w:val="00C07747"/>
    <w:rsid w:val="00C07ACE"/>
    <w:rsid w:val="00C15B04"/>
    <w:rsid w:val="00C20B8D"/>
    <w:rsid w:val="00C2530E"/>
    <w:rsid w:val="00C34F3A"/>
    <w:rsid w:val="00C352DE"/>
    <w:rsid w:val="00C527D6"/>
    <w:rsid w:val="00C54E46"/>
    <w:rsid w:val="00C55E1B"/>
    <w:rsid w:val="00C61850"/>
    <w:rsid w:val="00C72A78"/>
    <w:rsid w:val="00C819C3"/>
    <w:rsid w:val="00C85D57"/>
    <w:rsid w:val="00C86C06"/>
    <w:rsid w:val="00C922A6"/>
    <w:rsid w:val="00C974A8"/>
    <w:rsid w:val="00CA458F"/>
    <w:rsid w:val="00CA5B35"/>
    <w:rsid w:val="00CB20F5"/>
    <w:rsid w:val="00CB3F27"/>
    <w:rsid w:val="00CB45EB"/>
    <w:rsid w:val="00CD0E43"/>
    <w:rsid w:val="00CD55DB"/>
    <w:rsid w:val="00CE598B"/>
    <w:rsid w:val="00CE6D0C"/>
    <w:rsid w:val="00CF2F5B"/>
    <w:rsid w:val="00CF66CF"/>
    <w:rsid w:val="00D01D09"/>
    <w:rsid w:val="00D02BEC"/>
    <w:rsid w:val="00D05A87"/>
    <w:rsid w:val="00D1292E"/>
    <w:rsid w:val="00D22538"/>
    <w:rsid w:val="00D27AC0"/>
    <w:rsid w:val="00D30B9E"/>
    <w:rsid w:val="00D41A64"/>
    <w:rsid w:val="00D432C6"/>
    <w:rsid w:val="00D52A48"/>
    <w:rsid w:val="00D57CE9"/>
    <w:rsid w:val="00D6062A"/>
    <w:rsid w:val="00D61515"/>
    <w:rsid w:val="00D61672"/>
    <w:rsid w:val="00D63D7F"/>
    <w:rsid w:val="00D63FFB"/>
    <w:rsid w:val="00D709FA"/>
    <w:rsid w:val="00D72479"/>
    <w:rsid w:val="00D74892"/>
    <w:rsid w:val="00D74C99"/>
    <w:rsid w:val="00D83641"/>
    <w:rsid w:val="00D86AAD"/>
    <w:rsid w:val="00D94AF1"/>
    <w:rsid w:val="00DA3E63"/>
    <w:rsid w:val="00DB1654"/>
    <w:rsid w:val="00DC0D5B"/>
    <w:rsid w:val="00DC1DE8"/>
    <w:rsid w:val="00DD00A6"/>
    <w:rsid w:val="00DF0467"/>
    <w:rsid w:val="00DF0EC8"/>
    <w:rsid w:val="00E01BAC"/>
    <w:rsid w:val="00E07590"/>
    <w:rsid w:val="00E22B3E"/>
    <w:rsid w:val="00E34735"/>
    <w:rsid w:val="00E36C31"/>
    <w:rsid w:val="00E477B1"/>
    <w:rsid w:val="00E54D54"/>
    <w:rsid w:val="00E61848"/>
    <w:rsid w:val="00E65480"/>
    <w:rsid w:val="00E65CEC"/>
    <w:rsid w:val="00E75234"/>
    <w:rsid w:val="00E96B0B"/>
    <w:rsid w:val="00EA43E3"/>
    <w:rsid w:val="00EA4A01"/>
    <w:rsid w:val="00EC089D"/>
    <w:rsid w:val="00EC22DB"/>
    <w:rsid w:val="00EC68E0"/>
    <w:rsid w:val="00EE7982"/>
    <w:rsid w:val="00EE7FEE"/>
    <w:rsid w:val="00EF107A"/>
    <w:rsid w:val="00F0198C"/>
    <w:rsid w:val="00F055AF"/>
    <w:rsid w:val="00F05751"/>
    <w:rsid w:val="00F126EB"/>
    <w:rsid w:val="00F21E01"/>
    <w:rsid w:val="00F22A3B"/>
    <w:rsid w:val="00F248C1"/>
    <w:rsid w:val="00F551FC"/>
    <w:rsid w:val="00F67142"/>
    <w:rsid w:val="00F7155F"/>
    <w:rsid w:val="00F75834"/>
    <w:rsid w:val="00FB222B"/>
    <w:rsid w:val="00FB715F"/>
    <w:rsid w:val="00FC1A11"/>
    <w:rsid w:val="00FC2AD5"/>
    <w:rsid w:val="00FD072E"/>
    <w:rsid w:val="00FE1209"/>
    <w:rsid w:val="00FF74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224"/>
    <w:pPr>
      <w:spacing w:after="0" w:line="240" w:lineRule="auto"/>
    </w:pPr>
    <w:rPr>
      <w:rFonts w:ascii="Century Schoolbook" w:eastAsia="Times New Roman" w:hAnsi="Century Schoolbook" w:cs="Times New Roman"/>
      <w:sz w:val="24"/>
      <w:szCs w:val="24"/>
      <w:lang w:eastAsia="pt-BR"/>
    </w:rPr>
  </w:style>
  <w:style w:type="paragraph" w:styleId="Ttulo1">
    <w:name w:val="heading 1"/>
    <w:basedOn w:val="Normal"/>
    <w:next w:val="Normal"/>
    <w:link w:val="Ttulo1Char"/>
    <w:qFormat/>
    <w:rsid w:val="0017258B"/>
    <w:pPr>
      <w:keepNext/>
      <w:jc w:val="both"/>
      <w:outlineLvl w:val="0"/>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5224"/>
    <w:pPr>
      <w:tabs>
        <w:tab w:val="center" w:pos="4252"/>
        <w:tab w:val="right" w:pos="8504"/>
      </w:tabs>
    </w:pPr>
  </w:style>
  <w:style w:type="character" w:customStyle="1" w:styleId="CabealhoChar">
    <w:name w:val="Cabeçalho Char"/>
    <w:basedOn w:val="Fontepargpadro"/>
    <w:link w:val="Cabealho"/>
    <w:rsid w:val="00995224"/>
    <w:rPr>
      <w:rFonts w:ascii="Century Schoolbook" w:eastAsia="Times New Roman" w:hAnsi="Century Schoolbook" w:cs="Times New Roman"/>
      <w:sz w:val="24"/>
      <w:szCs w:val="24"/>
      <w:lang w:eastAsia="pt-BR"/>
    </w:rPr>
  </w:style>
  <w:style w:type="paragraph" w:styleId="Rodap">
    <w:name w:val="footer"/>
    <w:basedOn w:val="Normal"/>
    <w:link w:val="RodapChar"/>
    <w:uiPriority w:val="99"/>
    <w:rsid w:val="00995224"/>
    <w:pPr>
      <w:tabs>
        <w:tab w:val="center" w:pos="4252"/>
        <w:tab w:val="right" w:pos="8504"/>
      </w:tabs>
    </w:pPr>
  </w:style>
  <w:style w:type="character" w:customStyle="1" w:styleId="RodapChar">
    <w:name w:val="Rodapé Char"/>
    <w:basedOn w:val="Fontepargpadro"/>
    <w:link w:val="Rodap"/>
    <w:uiPriority w:val="99"/>
    <w:rsid w:val="00995224"/>
    <w:rPr>
      <w:rFonts w:ascii="Century Schoolbook" w:eastAsia="Times New Roman" w:hAnsi="Century Schoolbook" w:cs="Times New Roman"/>
      <w:sz w:val="24"/>
      <w:szCs w:val="24"/>
      <w:lang w:eastAsia="pt-BR"/>
    </w:rPr>
  </w:style>
  <w:style w:type="character" w:styleId="Hyperlink">
    <w:name w:val="Hyperlink"/>
    <w:basedOn w:val="Fontepargpadro"/>
    <w:uiPriority w:val="99"/>
    <w:rsid w:val="00995224"/>
    <w:rPr>
      <w:color w:val="0000FF"/>
      <w:u w:val="single"/>
    </w:rPr>
  </w:style>
  <w:style w:type="paragraph" w:styleId="Textodenotaderodap">
    <w:name w:val="footnote text"/>
    <w:basedOn w:val="Normal"/>
    <w:link w:val="TextodenotaderodapChar"/>
    <w:rsid w:val="00995224"/>
    <w:rPr>
      <w:sz w:val="20"/>
      <w:szCs w:val="20"/>
    </w:rPr>
  </w:style>
  <w:style w:type="character" w:customStyle="1" w:styleId="TextodenotaderodapChar">
    <w:name w:val="Texto de nota de rodapé Char"/>
    <w:basedOn w:val="Fontepargpadro"/>
    <w:link w:val="Textodenotaderodap"/>
    <w:rsid w:val="00995224"/>
    <w:rPr>
      <w:rFonts w:ascii="Century Schoolbook" w:eastAsia="Times New Roman" w:hAnsi="Century Schoolbook" w:cs="Times New Roman"/>
      <w:sz w:val="20"/>
      <w:szCs w:val="20"/>
      <w:lang w:eastAsia="pt-BR"/>
    </w:rPr>
  </w:style>
  <w:style w:type="character" w:styleId="Refdenotaderodap">
    <w:name w:val="footnote reference"/>
    <w:basedOn w:val="Fontepargpadro"/>
    <w:rsid w:val="00995224"/>
    <w:rPr>
      <w:vertAlign w:val="superscript"/>
    </w:rPr>
  </w:style>
  <w:style w:type="paragraph" w:styleId="Textodebalo">
    <w:name w:val="Balloon Text"/>
    <w:basedOn w:val="Normal"/>
    <w:link w:val="TextodebaloChar"/>
    <w:uiPriority w:val="99"/>
    <w:semiHidden/>
    <w:unhideWhenUsed/>
    <w:rsid w:val="00995224"/>
    <w:rPr>
      <w:rFonts w:ascii="Tahoma" w:hAnsi="Tahoma" w:cs="Tahoma"/>
      <w:sz w:val="16"/>
      <w:szCs w:val="16"/>
    </w:rPr>
  </w:style>
  <w:style w:type="character" w:customStyle="1" w:styleId="TextodebaloChar">
    <w:name w:val="Texto de balão Char"/>
    <w:basedOn w:val="Fontepargpadro"/>
    <w:link w:val="Textodebalo"/>
    <w:uiPriority w:val="99"/>
    <w:semiHidden/>
    <w:rsid w:val="00995224"/>
    <w:rPr>
      <w:rFonts w:ascii="Tahoma" w:eastAsia="Times New Roman" w:hAnsi="Tahoma" w:cs="Tahoma"/>
      <w:sz w:val="16"/>
      <w:szCs w:val="16"/>
      <w:lang w:eastAsia="pt-BR"/>
    </w:rPr>
  </w:style>
  <w:style w:type="paragraph" w:styleId="NormalWeb">
    <w:name w:val="Normal (Web)"/>
    <w:basedOn w:val="Normal"/>
    <w:uiPriority w:val="99"/>
    <w:unhideWhenUsed/>
    <w:rsid w:val="00D22538"/>
    <w:pPr>
      <w:spacing w:before="100" w:beforeAutospacing="1" w:after="100" w:afterAutospacing="1"/>
    </w:pPr>
    <w:rPr>
      <w:rFonts w:ascii="Times New Roman" w:hAnsi="Times New Roman"/>
    </w:rPr>
  </w:style>
  <w:style w:type="paragraph" w:styleId="PargrafodaLista">
    <w:name w:val="List Paragraph"/>
    <w:basedOn w:val="Normal"/>
    <w:uiPriority w:val="34"/>
    <w:qFormat/>
    <w:rsid w:val="00C34F3A"/>
    <w:pPr>
      <w:ind w:left="720"/>
      <w:contextualSpacing/>
    </w:pPr>
  </w:style>
  <w:style w:type="character" w:customStyle="1" w:styleId="Ttulo1Char">
    <w:name w:val="Título 1 Char"/>
    <w:basedOn w:val="Fontepargpadro"/>
    <w:link w:val="Ttulo1"/>
    <w:rsid w:val="0017258B"/>
    <w:rPr>
      <w:rFonts w:ascii="Arial Narrow" w:eastAsia="Times New Roman" w:hAnsi="Arial Narrow" w:cs="Times New Roman"/>
      <w:b/>
      <w:sz w:val="24"/>
      <w:szCs w:val="24"/>
      <w:lang w:eastAsia="pt-BR"/>
    </w:rPr>
  </w:style>
  <w:style w:type="paragraph" w:styleId="TextosemFormatao">
    <w:name w:val="Plain Text"/>
    <w:basedOn w:val="Normal"/>
    <w:link w:val="TextosemFormataoChar"/>
    <w:rsid w:val="00503A5E"/>
    <w:rPr>
      <w:rFonts w:ascii="Courier New" w:hAnsi="Courier New"/>
      <w:sz w:val="20"/>
      <w:szCs w:val="20"/>
    </w:rPr>
  </w:style>
  <w:style w:type="character" w:customStyle="1" w:styleId="TextosemFormataoChar">
    <w:name w:val="Texto sem Formatação Char"/>
    <w:basedOn w:val="Fontepargpadro"/>
    <w:link w:val="TextosemFormatao"/>
    <w:rsid w:val="00503A5E"/>
    <w:rPr>
      <w:rFonts w:ascii="Courier New" w:eastAsia="Times New Roman" w:hAnsi="Courier New" w:cs="Times New Roman"/>
      <w:sz w:val="20"/>
      <w:szCs w:val="20"/>
      <w:lang w:eastAsia="pt-BR"/>
    </w:rPr>
  </w:style>
  <w:style w:type="table" w:styleId="Tabelacomgrade">
    <w:name w:val="Table Grid"/>
    <w:basedOn w:val="Tabelanormal"/>
    <w:uiPriority w:val="59"/>
    <w:rsid w:val="00640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40CAB"/>
    <w:rPr>
      <w:b/>
      <w:bCs/>
    </w:rPr>
  </w:style>
  <w:style w:type="paragraph" w:customStyle="1" w:styleId="Default">
    <w:name w:val="Default"/>
    <w:rsid w:val="007C5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orpodetexto">
    <w:name w:val="Body Text"/>
    <w:basedOn w:val="Normal"/>
    <w:link w:val="CorpodetextoChar"/>
    <w:rsid w:val="00A92E7B"/>
    <w:pPr>
      <w:jc w:val="both"/>
    </w:pPr>
    <w:rPr>
      <w:rFonts w:ascii="Century Gothic" w:hAnsi="Century Gothic"/>
    </w:rPr>
  </w:style>
  <w:style w:type="character" w:customStyle="1" w:styleId="CorpodetextoChar">
    <w:name w:val="Corpo de texto Char"/>
    <w:basedOn w:val="Fontepargpadro"/>
    <w:link w:val="Corpodetexto"/>
    <w:rsid w:val="00A92E7B"/>
    <w:rPr>
      <w:rFonts w:ascii="Century Gothic" w:eastAsia="Times New Roman" w:hAnsi="Century Gothic" w:cs="Times New Roman"/>
      <w:sz w:val="24"/>
      <w:szCs w:val="24"/>
      <w:lang w:eastAsia="pt-BR"/>
    </w:rPr>
  </w:style>
  <w:style w:type="paragraph" w:customStyle="1" w:styleId="TCU-SemRecuo">
    <w:name w:val="TCU - Sem Recuo"/>
    <w:basedOn w:val="Normal"/>
    <w:uiPriority w:val="99"/>
    <w:rsid w:val="00A92E7B"/>
    <w:pPr>
      <w:tabs>
        <w:tab w:val="left" w:pos="1134"/>
      </w:tabs>
      <w:spacing w:after="160"/>
      <w:jc w:val="both"/>
    </w:pPr>
    <w:rPr>
      <w:rFonts w:ascii="Times New Roman" w:hAnsi="Times New Roman"/>
      <w:szCs w:val="20"/>
    </w:rPr>
  </w:style>
  <w:style w:type="character" w:customStyle="1" w:styleId="apple-converted-space">
    <w:name w:val="apple-converted-space"/>
    <w:basedOn w:val="Fontepargpadro"/>
    <w:rsid w:val="00A92E7B"/>
  </w:style>
</w:styles>
</file>

<file path=word/webSettings.xml><?xml version="1.0" encoding="utf-8"?>
<w:webSettings xmlns:r="http://schemas.openxmlformats.org/officeDocument/2006/relationships" xmlns:w="http://schemas.openxmlformats.org/wordprocessingml/2006/main">
  <w:divs>
    <w:div w:id="291328419">
      <w:bodyDiv w:val="1"/>
      <w:marLeft w:val="0"/>
      <w:marRight w:val="0"/>
      <w:marTop w:val="0"/>
      <w:marBottom w:val="0"/>
      <w:divBdr>
        <w:top w:val="none" w:sz="0" w:space="0" w:color="auto"/>
        <w:left w:val="none" w:sz="0" w:space="0" w:color="auto"/>
        <w:bottom w:val="none" w:sz="0" w:space="0" w:color="auto"/>
        <w:right w:val="none" w:sz="0" w:space="0" w:color="auto"/>
      </w:divBdr>
    </w:div>
    <w:div w:id="579797046">
      <w:bodyDiv w:val="1"/>
      <w:marLeft w:val="0"/>
      <w:marRight w:val="0"/>
      <w:marTop w:val="0"/>
      <w:marBottom w:val="0"/>
      <w:divBdr>
        <w:top w:val="none" w:sz="0" w:space="0" w:color="auto"/>
        <w:left w:val="none" w:sz="0" w:space="0" w:color="auto"/>
        <w:bottom w:val="none" w:sz="0" w:space="0" w:color="auto"/>
        <w:right w:val="none" w:sz="0" w:space="0" w:color="auto"/>
      </w:divBdr>
    </w:div>
    <w:div w:id="1357543048">
      <w:bodyDiv w:val="1"/>
      <w:marLeft w:val="0"/>
      <w:marRight w:val="0"/>
      <w:marTop w:val="0"/>
      <w:marBottom w:val="0"/>
      <w:divBdr>
        <w:top w:val="none" w:sz="0" w:space="0" w:color="auto"/>
        <w:left w:val="none" w:sz="0" w:space="0" w:color="auto"/>
        <w:bottom w:val="none" w:sz="0" w:space="0" w:color="auto"/>
        <w:right w:val="none" w:sz="0" w:space="0" w:color="auto"/>
      </w:divBdr>
    </w:div>
    <w:div w:id="1682585812">
      <w:bodyDiv w:val="1"/>
      <w:marLeft w:val="0"/>
      <w:marRight w:val="0"/>
      <w:marTop w:val="0"/>
      <w:marBottom w:val="0"/>
      <w:divBdr>
        <w:top w:val="none" w:sz="0" w:space="0" w:color="auto"/>
        <w:left w:val="none" w:sz="0" w:space="0" w:color="auto"/>
        <w:bottom w:val="none" w:sz="0" w:space="0" w:color="auto"/>
        <w:right w:val="none" w:sz="0" w:space="0" w:color="auto"/>
      </w:divBdr>
    </w:div>
    <w:div w:id="20348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nEvRkHQSU/KFLGm/IbhKTKwH3lc=</DigestValue>
    </Reference>
    <Reference URI="#idOfficeObject" Type="http://www.w3.org/2000/09/xmldsig#Object">
      <DigestMethod Algorithm="http://www.w3.org/2000/09/xmldsig#sha1"/>
      <DigestValue>7GvSvp0ArLcxaqX0pykYkah/jt0=</DigestValue>
    </Reference>
  </SignedInfo>
  <SignatureValue>
    nDLYkB4FR7so0pXU6iXcfUR4cIyV4Hxi7OVJyUglT3ZMNhF4K0MYiEl/IsWPHxXfZrJFYkP6
    fABm5g6BBBrg0mC/bxPPKdIlYl3l/j2h9Yh5JmxtPrn2uDDan/NAxJwyMC2EqCBd4IMiPFPk
    AH/f6fTeRVLuatZ/gW9zPhpcF/mD7iGwVorq1NdNGfvqzOpOzWS4VU93pENUbWji5BargP7Z
    s7hH5M+1O9AWTLPpLl2AF6nfMyOWi45Y+uaN9QysN86P0EpMsNNpCyD8DDjwS27hVMWKkfx3
    j4ffwaYekgmqdElYpupGC+EVy0bY6QzBAiajzahgwJObqjMz5SQf0g==
  </SignatureValue>
  <KeyInfo>
    <KeyValue>
      <RSAKeyValue>
        <Modulus>
            pWGr1VivlEwf71hYBSWqOo3s5GRUhp01HT4ZbUheB0xbq0HB/3uVWCrkKKcmuczqR0itc5XN
            JFT++azWyeKoqgy/Bx49+HTaHAH27nEVjJNtxoEffSqEjlvoC7PbhFwePdRpXJ/a3hxMvUxw
            TDKtZE8VmAoZKLJiaHvdofZjPv5B/16a9Q4eHI56M4kqF2qGifG3K8ATX1lO0itAlM9136u6
            MYf27llPHVrAnhd+TCM0at1JPuoIXJ795wrSD+gZswSmuoO3FXsl2YBUwzKO21imiJsFqc47
            BGFFkHgSsplcc69nqcuGpKPAT8xms2cbSleZNHOfhu/AD9IhORxewQ==
          </Modulus>
        <Exponent>AQAB</Exponent>
      </RSAKeyValue>
    </KeyValue>
    <X509Data>
      <X509Certificate>
          MIIH9DCCBdygAwIBAgIQJ096ShclnAlAaKdpTx8BmDANBgkqhkiG9w0BAQsFADB3MQswCQYD
          VQQGEwJCUjETMBEGA1UEChMKSUNQLUJyYXNpbDE2MDQGA1UECxMtU2VjcmV0YXJpYSBkYSBS
          ZWNlaXRhIEZlZGVyYWwgZG8gQnJhc2lsIC0gUkZCMRswGQYDVQQDExJBQyBQUk9ERU1HRSBS
          RkIgRzMwHhcNMTUwNTI1MDAwMDAwWhcNMTgwNTIzMjM1OTU5WjCB6DELMAkGA1UEBhMCQlIx
          EzARBgNVBAoUCklDUC1CcmFzaWwxNjA0BgNVBAsULVNlY3JldGFyaWEgZGEgUmVjZWl0YSBG
          ZWRlcmFsIGRvIEJyYXNpbCAtIFJGQjEVMBMGA1UECxQMUkZCIGUtQ1BGIEEzMRQwEgYDVQQL
          FAsoRU0gQlJBTkNPKTEhMB8GA1UECxQYQXV0ZW50aWNhZG8gcG9yIFBST0RFTUdFMTwwOgYD
          VQQDEzNTQVJBIE1FSU5CRVJHIFNDSE1JRFQgREUgQU5EUkFERSBEVUFSVEU6MDAwNzgzNjQ2
          NTUwggEiMA0GCSqGSIb3DQEBAQUAA4IBDwAwggEKAoIBAQClYavVWK+UTB/vWFgFJao6jezk
          ZFSGnTUdPhltSF4HTFurQcH/e5VYKuQopya5zOpHSK1zlc0kVP75rNbJ4qiqDL8HHj34dNoc
          AfbucRWMk23GgR99KoSOW+gLs9uEXB491Glcn9reHEy9THBMMq1kTxWYChkosmJoe92h9mM+
          /kH/Xpr1Dh4cjnoziSoXaoaJ8bcrwBNfWU7SK0CUz3Xfq7oxh/buWU8dWsCeF35MIzRq3Uk+
          6ghcnv3nCtIP6BmzBKa6g7cVeyXZgFTDMo7bWKaImwWpzjsEYUWQeBKymVxzr2epy4ako8BP
          zGazZxtKV5k0c5+G78AP0iE5HF7BAgMBAAGjggMIMIIDBDCBoAYDVR0RBIGYMIGVoD0GBWBM
          AQMBoDQEMjEwMTIxOTczMDAwNzgzNjQ2NTUwMDAwMDAwMDAwMDAwMDAwME1HNjQwMjI1NlNT
          UE1HoBcGBWBMAQMGoA4EDDAwMDAwMDAwMDAwMKAeBgVgTAEDBaAVBBMwMDAwMDAwMDAwMDAw
          MDAwMDAwgRtzYXJhLm1laW5iZXJnQG1wYy5tZy5nb3YuYnIwCQYDVR0TBAIwADAfBgNVHSME
          GDAWgBTUhARBL7QuQTXs74g60UzBbguQVDAOBgNVHQ8BAf8EBAMCBeAwfQYDVR0gBHYwdDBy
          BgZgTAECAxQwaDBmBggrBgEFBQcCARZaaHR0cDovL2ljcC1icmFzaWwuY2VydGlzaWduLmNv
          bS5ici9yZXBvc2l0b3Jpby9kcGMvQUNfUFJPREVNR0VfUkZCL0RQQ19BQ19QUk9ERU1HRV9S
          RkIucGRmMIIBEwYDVR0fBIIBCjCCAQYwVqBUoFKGUGh0dHA6Ly9pY3AtYnJhc2lsLmNlcnRp
          c2lnbi5jb20uYnIvcmVwb3NpdG9yaW8vbGNyL0FDUFJPREVNR0VSRkJHMy9MYXRlc3RDUkwu
          Y3JsMFWgU6BRhk9odHRwOi8vaWNwLWJyYXNpbC5vdXRyYWxjci5jb20uYnIvcmVwb3NpdG9y
          aW8vbGNyL0FDUFJPREVNR0VSRkJHMy9MYXRlc3RDUkwuY3JsMFWgU6BRhk9odHRwOi8vcmVw
          b3NpdG9yaW8uaWNwYnJhc2lsLmdvdi5ici9sY3IvQ2VydGlzaWduL0FDUFJPREVNR0VSRkJH
          My9MYXRlc3RDUkwuY3JsMB0GA1UdJQQWMBQGCCsGAQUFBwMCBggrBgEFBQcDBDBuBggrBgEF
          BQcBAQRiMGAwXgYIKwYBBQUHMAKGUmh0dHA6Ly9pY3AtYnJhc2lsLmNlcnRpc2lnbi5jb20u
          YnIvcmVwb3NpdG9yaW8vY2VydGlmaWNhZG9zL0FDX1BST0RFTUdFX1JGQl9HMy5wN2MwDQYJ
          KoZIhvcNAQELBQADggIBAGDD3HqXSe+QhE3DACYn/P9/MgV+dCVutD7AwqRTtNhObi4rUuKj
          SvpiiKTXaaktgU8Ypvzuxr7VGSlIEL0+1EDHTTuxsahx25rnCuyQyG1nujrfrfKoPP6hUbgt
          +a5S2XyJj9JjOiGCb17j08MawOagWUMoMKEQnQHFexvooJKKlSxwfdTvhaRjsOq5zidJMU5d
          u97+1MNYrgaUcW+4RUkHBkehgugSZdGol0lcrTXOjKd4XjzPrrreEivhYxwsaJhQxZtf/uUc
          TqaC/PCce11CO6HQVKi2LjMZEZDpWq1OJq0Mu2DvMUMVx6OstiufkgYOSeY1sICRuvr0L2yT
          6RY23vLB+8UI1qIia67CImSqc8CDp5nqJg2irp6ThoEsfm4AlOW7tAjeIiYnekLohfH4Mf3d
          2aII1YVqo1oHgNWMH+CKrsiJkosO5v8bwbQIH1gE5p9k6UY4U+aepq8DO/InBqtczWe/rnl4
          afQV0TD3iIFXwdhMLdPGsx38bkxXmT7pqxmsNyTB8+0aehESl7LLZyQ9kAMMdzvAFUGqLHjX
          jINKuPV8dHVlpCh5jz/OVuPmmQ1fo3A5HdxBtDcLbmxlBPbWrig3TMs9m1IChFrgoI84EhRv
          7BRDEpqpvMoHyQSWNHyK/HFPiFat2D8jQCCeyGZ2DJVloFubjnOaOHQ6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+iOwdkSY2/8ZirXZZPJYS4omM5U=</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NATEbaVEmMi76F0noFMecAcJJbs=</DigestValue>
      </Reference>
      <Reference URI="/word/endnotes.xml?ContentType=application/vnd.openxmlformats-officedocument.wordprocessingml.endnotes+xml">
        <DigestMethod Algorithm="http://www.w3.org/2000/09/xmldsig#sha1"/>
        <DigestValue>XkBUqLhHkcXCY9oxGn3PAzkbcJs=</DigestValue>
      </Reference>
      <Reference URI="/word/fontTable.xml?ContentType=application/vnd.openxmlformats-officedocument.wordprocessingml.fontTable+xml">
        <DigestMethod Algorithm="http://www.w3.org/2000/09/xmldsig#sha1"/>
        <DigestValue>L58STDM5yka8MZ8uGw6r1JEYl0A=</DigestValue>
      </Reference>
      <Reference URI="/word/footer1.xml?ContentType=application/vnd.openxmlformats-officedocument.wordprocessingml.footer+xml">
        <DigestMethod Algorithm="http://www.w3.org/2000/09/xmldsig#sha1"/>
        <DigestValue>fJleXDDthuyaZAxZKkHqGFWFexY=</DigestValue>
      </Reference>
      <Reference URI="/word/footnotes.xml?ContentType=application/vnd.openxmlformats-officedocument.wordprocessingml.footnotes+xml">
        <DigestMethod Algorithm="http://www.w3.org/2000/09/xmldsig#sha1"/>
        <DigestValue>n7H/fIJmxP5z4vC4TbwrMmRkB18=</DigestValue>
      </Reference>
      <Reference URI="/word/header1.xml?ContentType=application/vnd.openxmlformats-officedocument.wordprocessingml.header+xml">
        <DigestMethod Algorithm="http://www.w3.org/2000/09/xmldsig#sha1"/>
        <DigestValue>+GlRVyFF1qIc9orQogqPKQl9sJo=</DigestValue>
      </Reference>
      <Reference URI="/word/media/image1.png?ContentType=image/png">
        <DigestMethod Algorithm="http://www.w3.org/2000/09/xmldsig#sha1"/>
        <DigestValue>Ffn0upG9m/nkYgXm1wbBRzqhG84=</DigestValue>
      </Reference>
      <Reference URI="/word/numbering.xml?ContentType=application/vnd.openxmlformats-officedocument.wordprocessingml.numbering+xml">
        <DigestMethod Algorithm="http://www.w3.org/2000/09/xmldsig#sha1"/>
        <DigestValue>OWMl6i6BgWUjbJi4wplJrC0vdok=</DigestValue>
      </Reference>
      <Reference URI="/word/settings.xml?ContentType=application/vnd.openxmlformats-officedocument.wordprocessingml.settings+xml">
        <DigestMethod Algorithm="http://www.w3.org/2000/09/xmldsig#sha1"/>
        <DigestValue>O+JegsJd/s50YE3rMlt/ozsaA/I=</DigestValue>
      </Reference>
      <Reference URI="/word/styles.xml?ContentType=application/vnd.openxmlformats-officedocument.wordprocessingml.styles+xml">
        <DigestMethod Algorithm="http://www.w3.org/2000/09/xmldsig#sha1"/>
        <DigestValue>l8u7dLxV583q8VBFOuHB/huaMlU=</DigestValue>
      </Reference>
      <Reference URI="/word/theme/theme1.xml?ContentType=application/vnd.openxmlformats-officedocument.theme+xml">
        <DigestMethod Algorithm="http://www.w3.org/2000/09/xmldsig#sha1"/>
        <DigestValue>0XJDGeTYXleMjKApVpJ1ovqD7/Q=</DigestValue>
      </Reference>
      <Reference URI="/word/webSettings.xml?ContentType=application/vnd.openxmlformats-officedocument.wordprocessingml.webSettings+xml">
        <DigestMethod Algorithm="http://www.w3.org/2000/09/xmldsig#sha1"/>
        <DigestValue>PJLZxpNA5JN1R1ro4Bcp109G20c=</DigestValue>
      </Reference>
    </Manifest>
    <SignatureProperties>
      <SignatureProperty Id="idSignatureTime" Target="#idPackageSignature">
        <mdssi:SignatureTime>
          <mdssi:Format>YYYY-MM-DDThh:mm:ssTZD</mdssi:Format>
          <mdssi:Value>2016-03-11T12:35:15Z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F801F-CA8B-4B05-8524-1A3617BA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2547</Words>
  <Characters>13755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mbalves</dc:creator>
  <cp:lastModifiedBy>helbert.silva</cp:lastModifiedBy>
  <cp:revision>2</cp:revision>
  <dcterms:created xsi:type="dcterms:W3CDTF">2016-05-31T14:53:00Z</dcterms:created>
  <dcterms:modified xsi:type="dcterms:W3CDTF">2016-05-31T14:53:00Z</dcterms:modified>
</cp:coreProperties>
</file>