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_xmlsignatures/sig1.xml" ContentType="application/vnd.openxmlformats-package.digital-signature-xmlsignatur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1" w:type="dxa"/>
        <w:tblInd w:w="-50" w:type="dxa"/>
        <w:tblLayout w:type="fixed"/>
        <w:tblCellMar>
          <w:left w:w="70" w:type="dxa"/>
          <w:right w:w="70" w:type="dxa"/>
        </w:tblCellMar>
        <w:tblLook w:val="0000"/>
      </w:tblPr>
      <w:tblGrid>
        <w:gridCol w:w="2160"/>
        <w:gridCol w:w="7741"/>
      </w:tblGrid>
      <w:tr w:rsidR="0083180A" w:rsidRPr="00ED41E0" w:rsidTr="00A03B9C">
        <w:tc>
          <w:tcPr>
            <w:tcW w:w="2160" w:type="dxa"/>
          </w:tcPr>
          <w:p w:rsidR="0083180A" w:rsidRPr="00ED41E0" w:rsidRDefault="0083180A" w:rsidP="00A03B9C">
            <w:pPr>
              <w:spacing w:line="360" w:lineRule="auto"/>
              <w:jc w:val="both"/>
              <w:rPr>
                <w:rFonts w:ascii="Arial" w:hAnsi="Arial" w:cs="Arial"/>
                <w:b/>
                <w:sz w:val="23"/>
                <w:szCs w:val="23"/>
              </w:rPr>
            </w:pPr>
            <w:r w:rsidRPr="00ED41E0">
              <w:rPr>
                <w:rFonts w:ascii="Arial" w:hAnsi="Arial" w:cs="Arial"/>
                <w:b/>
                <w:sz w:val="23"/>
                <w:szCs w:val="23"/>
              </w:rPr>
              <w:t>Processo nº:</w:t>
            </w:r>
          </w:p>
        </w:tc>
        <w:tc>
          <w:tcPr>
            <w:tcW w:w="7741" w:type="dxa"/>
          </w:tcPr>
          <w:p w:rsidR="0083180A" w:rsidRPr="00ED41E0" w:rsidRDefault="00360A18" w:rsidP="00A03B9C">
            <w:pPr>
              <w:spacing w:line="360" w:lineRule="auto"/>
              <w:jc w:val="both"/>
              <w:rPr>
                <w:rFonts w:ascii="Arial" w:hAnsi="Arial" w:cs="Arial"/>
                <w:sz w:val="23"/>
                <w:szCs w:val="23"/>
              </w:rPr>
            </w:pPr>
            <w:r>
              <w:rPr>
                <w:rFonts w:ascii="Arial" w:hAnsi="Arial" w:cs="Arial"/>
                <w:sz w:val="23"/>
                <w:szCs w:val="23"/>
              </w:rPr>
              <w:t>880.647</w:t>
            </w:r>
          </w:p>
        </w:tc>
      </w:tr>
      <w:tr w:rsidR="0083180A" w:rsidRPr="00ED41E0" w:rsidTr="00A03B9C">
        <w:tc>
          <w:tcPr>
            <w:tcW w:w="2160" w:type="dxa"/>
          </w:tcPr>
          <w:p w:rsidR="0083180A" w:rsidRPr="00ED41E0" w:rsidRDefault="0083180A" w:rsidP="00A03B9C">
            <w:pPr>
              <w:spacing w:line="360" w:lineRule="auto"/>
              <w:jc w:val="both"/>
              <w:rPr>
                <w:rFonts w:ascii="Arial" w:hAnsi="Arial" w:cs="Arial"/>
                <w:b/>
                <w:sz w:val="23"/>
                <w:szCs w:val="23"/>
              </w:rPr>
            </w:pPr>
            <w:r w:rsidRPr="00ED41E0">
              <w:rPr>
                <w:rFonts w:ascii="Arial" w:hAnsi="Arial" w:cs="Arial"/>
                <w:b/>
                <w:sz w:val="23"/>
                <w:szCs w:val="23"/>
              </w:rPr>
              <w:t>Natureza:</w:t>
            </w:r>
          </w:p>
        </w:tc>
        <w:tc>
          <w:tcPr>
            <w:tcW w:w="7741" w:type="dxa"/>
          </w:tcPr>
          <w:p w:rsidR="0083180A" w:rsidRPr="00ED41E0" w:rsidRDefault="00360A18" w:rsidP="00A03B9C">
            <w:pPr>
              <w:spacing w:line="360" w:lineRule="auto"/>
              <w:jc w:val="both"/>
              <w:rPr>
                <w:rFonts w:ascii="Arial" w:hAnsi="Arial" w:cs="Arial"/>
                <w:sz w:val="23"/>
                <w:szCs w:val="23"/>
              </w:rPr>
            </w:pPr>
            <w:r>
              <w:rPr>
                <w:rFonts w:ascii="Arial" w:hAnsi="Arial" w:cs="Arial"/>
                <w:sz w:val="23"/>
                <w:szCs w:val="23"/>
              </w:rPr>
              <w:t>Representação</w:t>
            </w:r>
          </w:p>
        </w:tc>
      </w:tr>
      <w:tr w:rsidR="0083180A" w:rsidRPr="00ED41E0" w:rsidTr="00A03B9C">
        <w:tc>
          <w:tcPr>
            <w:tcW w:w="2160" w:type="dxa"/>
          </w:tcPr>
          <w:p w:rsidR="0083180A" w:rsidRPr="00ED41E0" w:rsidRDefault="00A758F6" w:rsidP="00A03B9C">
            <w:pPr>
              <w:spacing w:line="360" w:lineRule="auto"/>
              <w:jc w:val="both"/>
              <w:rPr>
                <w:rFonts w:ascii="Arial" w:hAnsi="Arial" w:cs="Arial"/>
                <w:b/>
                <w:sz w:val="23"/>
                <w:szCs w:val="23"/>
              </w:rPr>
            </w:pPr>
            <w:r>
              <w:rPr>
                <w:rFonts w:ascii="Arial" w:hAnsi="Arial" w:cs="Arial"/>
                <w:b/>
                <w:sz w:val="23"/>
                <w:szCs w:val="23"/>
              </w:rPr>
              <w:t>Representante</w:t>
            </w:r>
            <w:r w:rsidR="0083180A">
              <w:rPr>
                <w:rFonts w:ascii="Arial" w:hAnsi="Arial" w:cs="Arial"/>
                <w:b/>
                <w:sz w:val="23"/>
                <w:szCs w:val="23"/>
              </w:rPr>
              <w:t>:</w:t>
            </w:r>
          </w:p>
        </w:tc>
        <w:tc>
          <w:tcPr>
            <w:tcW w:w="7741" w:type="dxa"/>
          </w:tcPr>
          <w:p w:rsidR="0083180A" w:rsidRDefault="00A758F6" w:rsidP="00A03B9C">
            <w:pPr>
              <w:spacing w:line="360" w:lineRule="auto"/>
              <w:jc w:val="both"/>
              <w:rPr>
                <w:rFonts w:ascii="Arial" w:hAnsi="Arial" w:cs="Arial"/>
                <w:sz w:val="23"/>
                <w:szCs w:val="23"/>
              </w:rPr>
            </w:pPr>
            <w:r>
              <w:rPr>
                <w:rFonts w:ascii="Arial" w:hAnsi="Arial" w:cs="Arial"/>
                <w:sz w:val="23"/>
                <w:szCs w:val="23"/>
              </w:rPr>
              <w:t>Câmara Municipal de Uberaba</w:t>
            </w:r>
          </w:p>
        </w:tc>
      </w:tr>
      <w:tr w:rsidR="0083180A" w:rsidRPr="00ED41E0" w:rsidTr="00A03B9C">
        <w:tc>
          <w:tcPr>
            <w:tcW w:w="2160" w:type="dxa"/>
          </w:tcPr>
          <w:p w:rsidR="0083180A" w:rsidRPr="00ED41E0" w:rsidRDefault="0083180A" w:rsidP="00A03B9C">
            <w:pPr>
              <w:spacing w:line="360" w:lineRule="auto"/>
              <w:jc w:val="both"/>
              <w:rPr>
                <w:rFonts w:ascii="Arial" w:hAnsi="Arial" w:cs="Arial"/>
                <w:b/>
                <w:sz w:val="23"/>
                <w:szCs w:val="23"/>
              </w:rPr>
            </w:pPr>
            <w:r w:rsidRPr="00ED41E0">
              <w:rPr>
                <w:rFonts w:ascii="Arial" w:hAnsi="Arial" w:cs="Arial"/>
                <w:b/>
                <w:sz w:val="23"/>
                <w:szCs w:val="23"/>
              </w:rPr>
              <w:t xml:space="preserve">Jurisdicionado: </w:t>
            </w:r>
          </w:p>
        </w:tc>
        <w:tc>
          <w:tcPr>
            <w:tcW w:w="7741" w:type="dxa"/>
          </w:tcPr>
          <w:p w:rsidR="0083180A" w:rsidRPr="00ED41E0" w:rsidRDefault="0083180A" w:rsidP="00A758F6">
            <w:pPr>
              <w:tabs>
                <w:tab w:val="right" w:pos="6923"/>
              </w:tabs>
              <w:spacing w:line="360" w:lineRule="auto"/>
              <w:jc w:val="both"/>
              <w:rPr>
                <w:rFonts w:ascii="Arial" w:hAnsi="Arial" w:cs="Arial"/>
                <w:sz w:val="23"/>
                <w:szCs w:val="23"/>
              </w:rPr>
            </w:pPr>
            <w:r>
              <w:rPr>
                <w:rFonts w:ascii="Arial" w:hAnsi="Arial" w:cs="Arial"/>
                <w:sz w:val="23"/>
                <w:szCs w:val="23"/>
              </w:rPr>
              <w:t xml:space="preserve">Poder Executivo do Município de </w:t>
            </w:r>
            <w:r w:rsidR="00A758F6">
              <w:rPr>
                <w:rFonts w:ascii="Arial" w:hAnsi="Arial" w:cs="Arial"/>
                <w:sz w:val="23"/>
                <w:szCs w:val="23"/>
              </w:rPr>
              <w:t>Uberaba</w:t>
            </w:r>
          </w:p>
        </w:tc>
      </w:tr>
      <w:tr w:rsidR="0083180A" w:rsidRPr="00ED41E0" w:rsidTr="00A03B9C">
        <w:tc>
          <w:tcPr>
            <w:tcW w:w="2160" w:type="dxa"/>
          </w:tcPr>
          <w:p w:rsidR="0083180A" w:rsidRPr="00ED41E0" w:rsidRDefault="0083180A" w:rsidP="00A03B9C">
            <w:pPr>
              <w:spacing w:line="360" w:lineRule="auto"/>
              <w:jc w:val="both"/>
              <w:rPr>
                <w:rFonts w:ascii="Arial" w:hAnsi="Arial" w:cs="Arial"/>
                <w:b/>
                <w:sz w:val="23"/>
                <w:szCs w:val="23"/>
              </w:rPr>
            </w:pPr>
            <w:r w:rsidRPr="00ED41E0">
              <w:rPr>
                <w:rFonts w:ascii="Arial" w:hAnsi="Arial" w:cs="Arial"/>
                <w:b/>
                <w:sz w:val="23"/>
                <w:szCs w:val="23"/>
              </w:rPr>
              <w:t>Relator</w:t>
            </w:r>
            <w:r w:rsidR="00A758F6">
              <w:rPr>
                <w:rFonts w:ascii="Arial" w:hAnsi="Arial" w:cs="Arial"/>
                <w:b/>
                <w:sz w:val="23"/>
                <w:szCs w:val="23"/>
              </w:rPr>
              <w:t>a</w:t>
            </w:r>
            <w:r w:rsidRPr="00ED41E0">
              <w:rPr>
                <w:rFonts w:ascii="Arial" w:hAnsi="Arial" w:cs="Arial"/>
                <w:b/>
                <w:sz w:val="23"/>
                <w:szCs w:val="23"/>
              </w:rPr>
              <w:t xml:space="preserve">:                    </w:t>
            </w:r>
          </w:p>
        </w:tc>
        <w:tc>
          <w:tcPr>
            <w:tcW w:w="7741" w:type="dxa"/>
          </w:tcPr>
          <w:p w:rsidR="0083180A" w:rsidRPr="00ED41E0" w:rsidRDefault="00A758F6" w:rsidP="00A758F6">
            <w:pPr>
              <w:tabs>
                <w:tab w:val="right" w:pos="6923"/>
              </w:tabs>
              <w:spacing w:line="360" w:lineRule="auto"/>
              <w:jc w:val="both"/>
              <w:rPr>
                <w:rFonts w:ascii="Arial" w:hAnsi="Arial" w:cs="Arial"/>
                <w:sz w:val="23"/>
                <w:szCs w:val="23"/>
              </w:rPr>
            </w:pPr>
            <w:r>
              <w:rPr>
                <w:rFonts w:ascii="Arial" w:hAnsi="Arial" w:cs="Arial"/>
                <w:sz w:val="23"/>
                <w:szCs w:val="23"/>
              </w:rPr>
              <w:t>Conselheira</w:t>
            </w:r>
            <w:r w:rsidR="0083180A" w:rsidRPr="00ED41E0">
              <w:rPr>
                <w:rFonts w:ascii="Arial" w:hAnsi="Arial" w:cs="Arial"/>
                <w:sz w:val="23"/>
                <w:szCs w:val="23"/>
              </w:rPr>
              <w:t xml:space="preserve"> </w:t>
            </w:r>
            <w:r>
              <w:rPr>
                <w:rFonts w:ascii="Arial" w:hAnsi="Arial" w:cs="Arial"/>
                <w:sz w:val="23"/>
                <w:szCs w:val="23"/>
              </w:rPr>
              <w:t>Adriene Andrade</w:t>
            </w:r>
          </w:p>
        </w:tc>
      </w:tr>
    </w:tbl>
    <w:p w:rsidR="0083180A" w:rsidRPr="00ED41E0" w:rsidRDefault="0083180A" w:rsidP="0083180A">
      <w:pPr>
        <w:spacing w:after="200" w:line="360" w:lineRule="auto"/>
        <w:rPr>
          <w:rFonts w:ascii="Arial" w:hAnsi="Arial" w:cs="Arial"/>
          <w:b/>
          <w:sz w:val="23"/>
          <w:szCs w:val="23"/>
          <w:u w:val="single"/>
        </w:rPr>
      </w:pPr>
    </w:p>
    <w:p w:rsidR="0083180A" w:rsidRPr="00816B18" w:rsidRDefault="00F84723" w:rsidP="0083180A">
      <w:pPr>
        <w:spacing w:after="200" w:line="360" w:lineRule="auto"/>
        <w:jc w:val="center"/>
        <w:rPr>
          <w:rFonts w:ascii="Arial" w:hAnsi="Arial" w:cs="Arial"/>
          <w:b/>
          <w:color w:val="FF0000"/>
          <w:sz w:val="23"/>
          <w:szCs w:val="23"/>
          <w:u w:val="single"/>
        </w:rPr>
      </w:pPr>
      <w:r>
        <w:rPr>
          <w:rFonts w:ascii="Arial" w:hAnsi="Arial" w:cs="Arial"/>
          <w:b/>
          <w:sz w:val="23"/>
          <w:szCs w:val="23"/>
          <w:u w:val="single"/>
        </w:rPr>
        <w:t>MANIFESTAÇÃO PRELIMINAR</w:t>
      </w:r>
      <w:r w:rsidR="0083180A" w:rsidRPr="00816B18">
        <w:rPr>
          <w:rFonts w:ascii="Arial" w:hAnsi="Arial" w:cs="Arial"/>
          <w:b/>
          <w:color w:val="FF0000"/>
          <w:sz w:val="23"/>
          <w:szCs w:val="23"/>
          <w:u w:val="single"/>
        </w:rPr>
        <w:t xml:space="preserve"> </w:t>
      </w:r>
    </w:p>
    <w:p w:rsidR="0083180A" w:rsidRPr="00ED41E0" w:rsidRDefault="0083180A" w:rsidP="0083180A">
      <w:pPr>
        <w:spacing w:after="200" w:line="360" w:lineRule="auto"/>
        <w:jc w:val="center"/>
        <w:rPr>
          <w:rFonts w:ascii="Arial" w:hAnsi="Arial" w:cs="Arial"/>
          <w:b/>
          <w:sz w:val="23"/>
          <w:szCs w:val="23"/>
          <w:u w:val="single"/>
        </w:rPr>
      </w:pPr>
    </w:p>
    <w:p w:rsidR="0083180A" w:rsidRDefault="00A758F6" w:rsidP="0083180A">
      <w:pPr>
        <w:spacing w:after="200" w:line="360" w:lineRule="auto"/>
        <w:jc w:val="both"/>
        <w:rPr>
          <w:rFonts w:ascii="Arial" w:hAnsi="Arial" w:cs="Arial"/>
          <w:sz w:val="23"/>
          <w:szCs w:val="23"/>
        </w:rPr>
      </w:pPr>
      <w:r>
        <w:rPr>
          <w:rFonts w:ascii="Arial" w:hAnsi="Arial" w:cs="Arial"/>
          <w:sz w:val="23"/>
          <w:szCs w:val="23"/>
        </w:rPr>
        <w:t>Excelentíssima</w:t>
      </w:r>
      <w:r w:rsidR="0083180A" w:rsidRPr="00ED41E0">
        <w:rPr>
          <w:rFonts w:ascii="Arial" w:hAnsi="Arial" w:cs="Arial"/>
          <w:sz w:val="23"/>
          <w:szCs w:val="23"/>
        </w:rPr>
        <w:t xml:space="preserve"> Senhor</w:t>
      </w:r>
      <w:r>
        <w:rPr>
          <w:rFonts w:ascii="Arial" w:hAnsi="Arial" w:cs="Arial"/>
          <w:sz w:val="23"/>
          <w:szCs w:val="23"/>
        </w:rPr>
        <w:t>a</w:t>
      </w:r>
      <w:r w:rsidR="0083180A" w:rsidRPr="00ED41E0">
        <w:rPr>
          <w:rFonts w:ascii="Arial" w:hAnsi="Arial" w:cs="Arial"/>
          <w:sz w:val="23"/>
          <w:szCs w:val="23"/>
        </w:rPr>
        <w:t xml:space="preserve"> Relator</w:t>
      </w:r>
      <w:r>
        <w:rPr>
          <w:rFonts w:ascii="Arial" w:hAnsi="Arial" w:cs="Arial"/>
          <w:sz w:val="23"/>
          <w:szCs w:val="23"/>
        </w:rPr>
        <w:t>a</w:t>
      </w:r>
      <w:r w:rsidR="0083180A" w:rsidRPr="00ED41E0">
        <w:rPr>
          <w:rFonts w:ascii="Arial" w:hAnsi="Arial" w:cs="Arial"/>
          <w:sz w:val="23"/>
          <w:szCs w:val="23"/>
        </w:rPr>
        <w:t xml:space="preserve">, </w:t>
      </w:r>
    </w:p>
    <w:p w:rsidR="00F113C8" w:rsidRDefault="0083180A"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sidRPr="00FE2FDB">
        <w:rPr>
          <w:rFonts w:ascii="Arial" w:hAnsi="Arial" w:cs="Arial"/>
          <w:sz w:val="23"/>
          <w:szCs w:val="23"/>
        </w:rPr>
        <w:t xml:space="preserve">Tratam os autos </w:t>
      </w:r>
      <w:r w:rsidR="00A03B9C">
        <w:rPr>
          <w:rFonts w:ascii="Arial" w:hAnsi="Arial" w:cs="Arial"/>
          <w:sz w:val="23"/>
          <w:szCs w:val="23"/>
        </w:rPr>
        <w:t xml:space="preserve">de </w:t>
      </w:r>
      <w:r w:rsidR="00F113C8">
        <w:rPr>
          <w:rFonts w:ascii="Arial" w:hAnsi="Arial" w:cs="Arial"/>
          <w:sz w:val="23"/>
          <w:szCs w:val="23"/>
        </w:rPr>
        <w:t xml:space="preserve">relatório da Comissão Especial de Inquérito instituída no âmbito da Câmara Municipal de Uberaba, com o objetivo de apurar possíveis irregularidades na prestação dos serviços públicos de saúde, na aquisição e distribuição de medicamentos e nos procedimentos de internação hospitalar vinculados ao SUS Fácil, sob a responsabilidade da Prefeitura Municipal de Uberaba, por </w:t>
      </w:r>
      <w:r w:rsidR="00E02AF3">
        <w:rPr>
          <w:rFonts w:ascii="Arial" w:hAnsi="Arial" w:cs="Arial"/>
          <w:sz w:val="23"/>
          <w:szCs w:val="23"/>
        </w:rPr>
        <w:t xml:space="preserve">meio da </w:t>
      </w:r>
      <w:r w:rsidR="00F113C8">
        <w:rPr>
          <w:rFonts w:ascii="Arial" w:hAnsi="Arial" w:cs="Arial"/>
          <w:sz w:val="23"/>
          <w:szCs w:val="23"/>
        </w:rPr>
        <w:t xml:space="preserve"> Secretaria Municipal de Saúde.</w:t>
      </w:r>
    </w:p>
    <w:p w:rsidR="00F113C8" w:rsidRDefault="00F113C8"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A 4ª Coordenadoria de Fiscalização dos Municípios (4ª CFM) prestou as informações</w:t>
      </w:r>
      <w:r w:rsidR="00A47B76">
        <w:rPr>
          <w:rFonts w:ascii="Arial" w:hAnsi="Arial" w:cs="Arial"/>
          <w:sz w:val="23"/>
          <w:szCs w:val="23"/>
        </w:rPr>
        <w:t xml:space="preserve"> de fls. 2212/2216 (vol. 10).</w:t>
      </w:r>
    </w:p>
    <w:p w:rsidR="00A47B76" w:rsidRDefault="00A47B76"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A documentação foi, então, recebida como Representação (fl. 2217, vol. 10) e distribuída à fl. 2218 (vol. 10).</w:t>
      </w:r>
    </w:p>
    <w:p w:rsidR="00A47B76" w:rsidRDefault="001E6F19"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No exame de fls. 2220/2242 (vol. 10), a 4ª CFM entendeu que parte das conclusões da comissão parlamentar faz referência ao atendimento, ao funcionamento e à qualidade das instalações das Unidades de Saúde do Município, “cuja determinação para regularização das ocorrências não se encontra entre as atribuições desta Corte”. Registrou, ainda, que a análise dos demais apontamentos demandaria melhor instrução.</w:t>
      </w:r>
    </w:p>
    <w:p w:rsidR="001E6F19" w:rsidRDefault="001E6F19"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O Conselheiro Relator, acatando a sugestão da Unidade Técnica, determinou a intimação do Prefeito Municipal às fls. 2243/2245 (vol. 10)</w:t>
      </w:r>
      <w:r w:rsidR="005226CC">
        <w:rPr>
          <w:rFonts w:ascii="Arial" w:hAnsi="Arial" w:cs="Arial"/>
          <w:sz w:val="23"/>
          <w:szCs w:val="23"/>
        </w:rPr>
        <w:t xml:space="preserve"> para a remessa da documentação pertinente aos fatos apontados.</w:t>
      </w:r>
    </w:p>
    <w:p w:rsidR="00943617" w:rsidRDefault="00943617"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lastRenderedPageBreak/>
        <w:t>Regularmente intimado (fls. 2246/2247, vol. 10), o Prefeito Municipal encaminhou a documentação de fls. 2252 (vol. 10)/</w:t>
      </w:r>
      <w:r w:rsidR="000B7F02">
        <w:rPr>
          <w:rFonts w:ascii="Arial" w:hAnsi="Arial" w:cs="Arial"/>
          <w:sz w:val="23"/>
          <w:szCs w:val="23"/>
        </w:rPr>
        <w:t xml:space="preserve"> </w:t>
      </w:r>
      <w:r w:rsidR="000B34DE">
        <w:rPr>
          <w:rFonts w:ascii="Arial" w:hAnsi="Arial" w:cs="Arial"/>
          <w:sz w:val="23"/>
          <w:szCs w:val="23"/>
        </w:rPr>
        <w:t>32465 (vol. 111)</w:t>
      </w:r>
      <w:r w:rsidR="000B7F02">
        <w:rPr>
          <w:rFonts w:ascii="Arial" w:hAnsi="Arial" w:cs="Arial"/>
          <w:sz w:val="23"/>
          <w:szCs w:val="23"/>
        </w:rPr>
        <w:t>.</w:t>
      </w:r>
    </w:p>
    <w:p w:rsidR="000B7F02" w:rsidRDefault="000B7F02"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Os autos retornaram à 4ª CFM para análise técnica, que </w:t>
      </w:r>
      <w:r w:rsidR="006C1E80">
        <w:rPr>
          <w:rFonts w:ascii="Arial" w:hAnsi="Arial" w:cs="Arial"/>
          <w:sz w:val="23"/>
          <w:szCs w:val="23"/>
        </w:rPr>
        <w:t>foi feita</w:t>
      </w:r>
      <w:r>
        <w:rPr>
          <w:rFonts w:ascii="Arial" w:hAnsi="Arial" w:cs="Arial"/>
          <w:sz w:val="23"/>
          <w:szCs w:val="23"/>
        </w:rPr>
        <w:t xml:space="preserve"> às fls. 32627/3</w:t>
      </w:r>
      <w:r w:rsidR="00171367">
        <w:rPr>
          <w:rFonts w:ascii="Arial" w:hAnsi="Arial" w:cs="Arial"/>
          <w:sz w:val="23"/>
          <w:szCs w:val="23"/>
        </w:rPr>
        <w:t>2680</w:t>
      </w:r>
      <w:r w:rsidR="00297B6C">
        <w:rPr>
          <w:rFonts w:ascii="Arial" w:hAnsi="Arial" w:cs="Arial"/>
          <w:sz w:val="23"/>
          <w:szCs w:val="23"/>
        </w:rPr>
        <w:t xml:space="preserve"> (vol. 112)</w:t>
      </w:r>
      <w:r w:rsidR="00171367">
        <w:rPr>
          <w:rFonts w:ascii="Arial" w:hAnsi="Arial" w:cs="Arial"/>
          <w:sz w:val="23"/>
          <w:szCs w:val="23"/>
        </w:rPr>
        <w:t xml:space="preserve">, reiterando que algumas das irregularidades aventadas pela comissão parlamentar exorbitam a competência do Tribunal de Contas. Sugeriu, ainda, que seja determinada à Administração Municipal a submissão de termos de ajuste que </w:t>
      </w:r>
      <w:r w:rsidR="006C1E80">
        <w:rPr>
          <w:rFonts w:ascii="Arial" w:hAnsi="Arial" w:cs="Arial"/>
          <w:sz w:val="23"/>
          <w:szCs w:val="23"/>
        </w:rPr>
        <w:t>envolve</w:t>
      </w:r>
      <w:r w:rsidR="00171367">
        <w:rPr>
          <w:rFonts w:ascii="Arial" w:hAnsi="Arial" w:cs="Arial"/>
          <w:sz w:val="23"/>
          <w:szCs w:val="23"/>
        </w:rPr>
        <w:t xml:space="preserve"> transferência de recursos financeiros da saúde ao Conselho Municipal de Saúde. Por fim, indicou apontamentos na formalização de licitações e na execução contratual deles decorrente.</w:t>
      </w:r>
    </w:p>
    <w:p w:rsidR="0083180A" w:rsidRDefault="0083180A"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Vieram, então, os autos ao Ministério Público para manifestação preliminar.</w:t>
      </w:r>
    </w:p>
    <w:p w:rsidR="0083180A" w:rsidRDefault="0083180A"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É o relatório, no essencial.</w:t>
      </w:r>
    </w:p>
    <w:p w:rsidR="0083180A" w:rsidRDefault="0083180A" w:rsidP="0083180A">
      <w:pPr>
        <w:tabs>
          <w:tab w:val="left" w:pos="1418"/>
        </w:tabs>
        <w:spacing w:after="200" w:line="360" w:lineRule="auto"/>
        <w:jc w:val="center"/>
        <w:rPr>
          <w:rFonts w:ascii="Arial" w:hAnsi="Arial" w:cs="Arial"/>
          <w:b/>
          <w:sz w:val="23"/>
          <w:szCs w:val="23"/>
          <w:u w:val="single"/>
        </w:rPr>
      </w:pPr>
      <w:r>
        <w:rPr>
          <w:rFonts w:ascii="Arial" w:hAnsi="Arial" w:cs="Arial"/>
          <w:b/>
          <w:sz w:val="23"/>
          <w:szCs w:val="23"/>
          <w:u w:val="single"/>
        </w:rPr>
        <w:t>FUNDAMENTAÇÃO</w:t>
      </w:r>
    </w:p>
    <w:p w:rsidR="00226E0D" w:rsidRPr="00226E0D" w:rsidRDefault="00AF5624" w:rsidP="00226E0D">
      <w:pPr>
        <w:tabs>
          <w:tab w:val="left" w:pos="1418"/>
        </w:tabs>
        <w:spacing w:after="200" w:line="360" w:lineRule="auto"/>
        <w:jc w:val="both"/>
        <w:rPr>
          <w:rFonts w:ascii="Arial" w:hAnsi="Arial" w:cs="Arial"/>
          <w:b/>
          <w:sz w:val="23"/>
          <w:szCs w:val="23"/>
        </w:rPr>
      </w:pPr>
      <w:r>
        <w:rPr>
          <w:rFonts w:ascii="Arial" w:hAnsi="Arial" w:cs="Arial"/>
          <w:b/>
          <w:sz w:val="23"/>
          <w:szCs w:val="23"/>
        </w:rPr>
        <w:t>Dos itens 1, 2, 4 e 6 da análise técnica</w:t>
      </w:r>
    </w:p>
    <w:p w:rsidR="00AF5624" w:rsidRDefault="00AF5624"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Em seu</w:t>
      </w:r>
      <w:r w:rsidR="0033368E">
        <w:rPr>
          <w:rFonts w:ascii="Arial" w:hAnsi="Arial" w:cs="Arial"/>
          <w:sz w:val="23"/>
          <w:szCs w:val="23"/>
        </w:rPr>
        <w:t>s</w:t>
      </w:r>
      <w:r>
        <w:rPr>
          <w:rFonts w:ascii="Arial" w:hAnsi="Arial" w:cs="Arial"/>
          <w:sz w:val="23"/>
          <w:szCs w:val="23"/>
        </w:rPr>
        <w:t xml:space="preserve"> exame</w:t>
      </w:r>
      <w:r w:rsidR="0033368E">
        <w:rPr>
          <w:rFonts w:ascii="Arial" w:hAnsi="Arial" w:cs="Arial"/>
          <w:sz w:val="23"/>
          <w:szCs w:val="23"/>
        </w:rPr>
        <w:t>s</w:t>
      </w:r>
      <w:r>
        <w:rPr>
          <w:rFonts w:ascii="Arial" w:hAnsi="Arial" w:cs="Arial"/>
          <w:sz w:val="23"/>
          <w:szCs w:val="23"/>
        </w:rPr>
        <w:t xml:space="preserve"> técnico</w:t>
      </w:r>
      <w:r w:rsidR="0033368E">
        <w:rPr>
          <w:rFonts w:ascii="Arial" w:hAnsi="Arial" w:cs="Arial"/>
          <w:sz w:val="23"/>
          <w:szCs w:val="23"/>
        </w:rPr>
        <w:t>s preliminares</w:t>
      </w:r>
      <w:r>
        <w:rPr>
          <w:rFonts w:ascii="Arial" w:hAnsi="Arial" w:cs="Arial"/>
          <w:sz w:val="23"/>
          <w:szCs w:val="23"/>
        </w:rPr>
        <w:t>, a 4ª CFM</w:t>
      </w:r>
      <w:r w:rsidR="007F38C6">
        <w:rPr>
          <w:rFonts w:ascii="Arial" w:hAnsi="Arial" w:cs="Arial"/>
          <w:sz w:val="23"/>
          <w:szCs w:val="23"/>
        </w:rPr>
        <w:t xml:space="preserve"> analisou pontualmente as questões suscitadas pela Comissão Especial de Inquérito (CEI) instituída pela Câmara Municipal de Uberaba, concluindo, quanto a algumas delas, que o relatório dos parlamentares não foi conclusivo, que o tempo transcorrido não recomenda a apuração mediante inspeção </w:t>
      </w:r>
      <w:r w:rsidR="007F38C6" w:rsidRPr="007F38C6">
        <w:rPr>
          <w:rFonts w:ascii="Arial" w:hAnsi="Arial" w:cs="Arial"/>
          <w:i/>
          <w:sz w:val="23"/>
          <w:szCs w:val="23"/>
        </w:rPr>
        <w:t>in loco</w:t>
      </w:r>
      <w:r w:rsidR="007F38C6">
        <w:rPr>
          <w:rFonts w:ascii="Arial" w:hAnsi="Arial" w:cs="Arial"/>
          <w:sz w:val="23"/>
          <w:szCs w:val="23"/>
        </w:rPr>
        <w:t xml:space="preserve"> e que a determinação para regularização, nesses casos, não se encontra entre as atribuições desta Corte.</w:t>
      </w:r>
    </w:p>
    <w:p w:rsidR="007F38C6" w:rsidRDefault="00041562"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As situações assim enquadradas pela Unidade técnica foram as seguintes:</w:t>
      </w:r>
    </w:p>
    <w:p w:rsidR="00041562" w:rsidRDefault="00041562" w:rsidP="00041562">
      <w:pPr>
        <w:tabs>
          <w:tab w:val="left" w:pos="1418"/>
        </w:tabs>
        <w:spacing w:after="200" w:line="360" w:lineRule="auto"/>
        <w:jc w:val="both"/>
        <w:rPr>
          <w:rFonts w:ascii="Arial" w:hAnsi="Arial" w:cs="Arial"/>
          <w:sz w:val="23"/>
          <w:szCs w:val="23"/>
        </w:rPr>
      </w:pPr>
      <w:r>
        <w:rPr>
          <w:rFonts w:ascii="Arial" w:hAnsi="Arial" w:cs="Arial"/>
          <w:sz w:val="23"/>
          <w:szCs w:val="23"/>
        </w:rPr>
        <w:tab/>
        <w:t>- 1) ausência de servidores e acomodações inadequadas em Postos de Saúde;</w:t>
      </w:r>
    </w:p>
    <w:p w:rsidR="00041562" w:rsidRDefault="00041562" w:rsidP="00041562">
      <w:pPr>
        <w:tabs>
          <w:tab w:val="left" w:pos="1418"/>
        </w:tabs>
        <w:spacing w:after="200" w:line="360" w:lineRule="auto"/>
        <w:jc w:val="both"/>
        <w:rPr>
          <w:rFonts w:ascii="Arial" w:hAnsi="Arial" w:cs="Arial"/>
          <w:sz w:val="23"/>
          <w:szCs w:val="23"/>
        </w:rPr>
      </w:pPr>
      <w:r>
        <w:rPr>
          <w:rFonts w:ascii="Arial" w:hAnsi="Arial" w:cs="Arial"/>
          <w:sz w:val="23"/>
          <w:szCs w:val="23"/>
        </w:rPr>
        <w:tab/>
        <w:t xml:space="preserve">- 2) </w:t>
      </w:r>
      <w:r w:rsidR="00A16850">
        <w:rPr>
          <w:rFonts w:ascii="Arial" w:hAnsi="Arial" w:cs="Arial"/>
          <w:sz w:val="23"/>
          <w:szCs w:val="23"/>
        </w:rPr>
        <w:t>questionamentos relativos ao Almoxarifado da Secretaria Municipal de Saúde: 2.1) instalações em desacordo com as normas de armazenamento de medicamentos; 2.2) ausência de fiscalização por parte da Vigilância Sanitária;</w:t>
      </w:r>
    </w:p>
    <w:p w:rsidR="00A16850" w:rsidRDefault="00A16850" w:rsidP="00041562">
      <w:pPr>
        <w:tabs>
          <w:tab w:val="left" w:pos="1418"/>
        </w:tabs>
        <w:spacing w:after="200" w:line="360" w:lineRule="auto"/>
        <w:jc w:val="both"/>
        <w:rPr>
          <w:rFonts w:ascii="Arial" w:hAnsi="Arial" w:cs="Arial"/>
          <w:sz w:val="23"/>
          <w:szCs w:val="23"/>
        </w:rPr>
      </w:pPr>
      <w:r>
        <w:rPr>
          <w:rFonts w:ascii="Arial" w:hAnsi="Arial" w:cs="Arial"/>
          <w:sz w:val="23"/>
          <w:szCs w:val="23"/>
        </w:rPr>
        <w:lastRenderedPageBreak/>
        <w:tab/>
        <w:t>- 4) tempo de espera exagerado na “Fila Eletrônica”;</w:t>
      </w:r>
    </w:p>
    <w:p w:rsidR="00A16850" w:rsidRDefault="00A16850" w:rsidP="00041562">
      <w:pPr>
        <w:tabs>
          <w:tab w:val="left" w:pos="1418"/>
        </w:tabs>
        <w:spacing w:after="200" w:line="360" w:lineRule="auto"/>
        <w:jc w:val="both"/>
        <w:rPr>
          <w:rFonts w:ascii="Arial" w:hAnsi="Arial" w:cs="Arial"/>
          <w:sz w:val="23"/>
          <w:szCs w:val="23"/>
        </w:rPr>
      </w:pPr>
      <w:r>
        <w:rPr>
          <w:rFonts w:ascii="Arial" w:hAnsi="Arial" w:cs="Arial"/>
          <w:sz w:val="23"/>
          <w:szCs w:val="23"/>
        </w:rPr>
        <w:tab/>
        <w:t>- 6) irregularidades constatadas em unidades de saúde.</w:t>
      </w:r>
    </w:p>
    <w:p w:rsidR="00AF5624" w:rsidRDefault="00BF783C"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Com efeito, os relatos colhidos durante a fiscalização empreendida pelos Edis </w:t>
      </w:r>
      <w:r w:rsidR="00B367F0">
        <w:rPr>
          <w:rFonts w:ascii="Arial" w:hAnsi="Arial" w:cs="Arial"/>
          <w:sz w:val="23"/>
          <w:szCs w:val="23"/>
        </w:rPr>
        <w:t>dão conta de unidades de saúde funcionando com estrutura precária</w:t>
      </w:r>
      <w:r w:rsidR="00C52798">
        <w:rPr>
          <w:rFonts w:ascii="Arial" w:hAnsi="Arial" w:cs="Arial"/>
          <w:sz w:val="23"/>
          <w:szCs w:val="23"/>
        </w:rPr>
        <w:t xml:space="preserve"> e sem </w:t>
      </w:r>
      <w:r w:rsidR="004E73BB">
        <w:rPr>
          <w:rFonts w:ascii="Arial" w:hAnsi="Arial" w:cs="Arial"/>
          <w:sz w:val="23"/>
          <w:szCs w:val="23"/>
        </w:rPr>
        <w:t>a totalidade d</w:t>
      </w:r>
      <w:r w:rsidR="00C52798">
        <w:rPr>
          <w:rFonts w:ascii="Arial" w:hAnsi="Arial" w:cs="Arial"/>
          <w:sz w:val="23"/>
          <w:szCs w:val="23"/>
        </w:rPr>
        <w:t>o material necessário</w:t>
      </w:r>
      <w:r w:rsidR="00B367F0">
        <w:rPr>
          <w:rFonts w:ascii="Arial" w:hAnsi="Arial" w:cs="Arial"/>
          <w:sz w:val="23"/>
          <w:szCs w:val="23"/>
        </w:rPr>
        <w:t>, de longo tempo de espera por consultas médicas com profissionais especialistas (em alguns casos chegando a quase um ano), de armazenamento de medicamentos em desacordo com as normas sanitárias, entre outras situações que denotam</w:t>
      </w:r>
      <w:r w:rsidR="00C52798">
        <w:rPr>
          <w:rFonts w:ascii="Arial" w:hAnsi="Arial" w:cs="Arial"/>
          <w:sz w:val="23"/>
          <w:szCs w:val="23"/>
        </w:rPr>
        <w:t xml:space="preserve"> </w:t>
      </w:r>
      <w:r w:rsidR="00FE6CCB">
        <w:rPr>
          <w:rFonts w:ascii="Arial" w:hAnsi="Arial" w:cs="Arial"/>
          <w:sz w:val="23"/>
          <w:szCs w:val="23"/>
        </w:rPr>
        <w:t>deficiências severas na prestação dos serviços de saúde no Município de Uberaba.</w:t>
      </w:r>
    </w:p>
    <w:p w:rsidR="00AF5624" w:rsidRDefault="00876198"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Neste ponto, cumpre registrar, ainda que de maneira simplificada, que, em nosso entendimento, diverso do manifestado pela Unidade Técnica, os fatos levantados pela comissão parlamentar municipal não estão imunes ao controle pelas Cortes de Contas.</w:t>
      </w:r>
      <w:r w:rsidR="004E73BB">
        <w:rPr>
          <w:rFonts w:ascii="Arial" w:hAnsi="Arial" w:cs="Arial"/>
          <w:sz w:val="23"/>
          <w:szCs w:val="23"/>
        </w:rPr>
        <w:t xml:space="preserve"> Explico. </w:t>
      </w:r>
    </w:p>
    <w:p w:rsidR="00DF57C0" w:rsidRDefault="00DF57C0"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A Lei Orgânica desta Corte, seguindo a mesma linha da Constituição da República e da legislação que rege os demais Tribunais de Contas no Brasil, </w:t>
      </w:r>
      <w:r w:rsidR="003D3134">
        <w:rPr>
          <w:rFonts w:ascii="Arial" w:hAnsi="Arial" w:cs="Arial"/>
          <w:sz w:val="23"/>
          <w:szCs w:val="23"/>
        </w:rPr>
        <w:t>fixa sua atuação logo no art. 1º, que assim estabelece:</w:t>
      </w:r>
    </w:p>
    <w:p w:rsidR="00105040" w:rsidRPr="00105040" w:rsidRDefault="00105040" w:rsidP="00105040">
      <w:pPr>
        <w:pStyle w:val="western"/>
        <w:spacing w:before="0" w:beforeAutospacing="0" w:after="0" w:afterAutospacing="0"/>
        <w:ind w:left="2268"/>
        <w:jc w:val="both"/>
        <w:rPr>
          <w:rFonts w:ascii="Arial" w:hAnsi="Arial" w:cs="Arial"/>
          <w:sz w:val="20"/>
          <w:szCs w:val="20"/>
        </w:rPr>
      </w:pPr>
      <w:r w:rsidRPr="00105040">
        <w:rPr>
          <w:rFonts w:ascii="Arial" w:hAnsi="Arial" w:cs="Arial"/>
          <w:sz w:val="20"/>
          <w:szCs w:val="20"/>
        </w:rPr>
        <w:t xml:space="preserve">Art. 1º O Tribunal de Contas, órgão de controle externo da gestão dos recursos públicos estaduais e municipais, presta auxílio ao Poder Legislativo, tem sede na Capital e jurisdição própria e privativa sobre as matérias e pessoas sujeitas a sua competência, nos termos da Constituição da República, da Constituição do Estado de Minas Gerais e desta Lei Complementar. </w:t>
      </w:r>
    </w:p>
    <w:p w:rsidR="00105040" w:rsidRPr="00105040" w:rsidRDefault="00105040" w:rsidP="00105040">
      <w:pPr>
        <w:pStyle w:val="western"/>
        <w:spacing w:before="0" w:beforeAutospacing="0" w:after="200" w:afterAutospacing="0"/>
        <w:ind w:left="2268"/>
        <w:jc w:val="both"/>
        <w:rPr>
          <w:rFonts w:ascii="Arial" w:hAnsi="Arial" w:cs="Arial"/>
          <w:sz w:val="20"/>
          <w:szCs w:val="20"/>
        </w:rPr>
      </w:pPr>
      <w:r w:rsidRPr="00105040">
        <w:rPr>
          <w:rFonts w:ascii="Arial" w:hAnsi="Arial" w:cs="Arial"/>
          <w:sz w:val="20"/>
          <w:szCs w:val="20"/>
        </w:rPr>
        <w:t xml:space="preserve">Parágrafo único. O controle externo de que trata o </w:t>
      </w:r>
      <w:r w:rsidRPr="00105040">
        <w:rPr>
          <w:rFonts w:ascii="Arial" w:hAnsi="Arial" w:cs="Arial"/>
          <w:i/>
          <w:iCs/>
          <w:sz w:val="20"/>
          <w:szCs w:val="20"/>
        </w:rPr>
        <w:t>caput</w:t>
      </w:r>
      <w:r w:rsidRPr="00105040">
        <w:rPr>
          <w:rFonts w:ascii="Arial" w:hAnsi="Arial" w:cs="Arial"/>
          <w:sz w:val="20"/>
          <w:szCs w:val="20"/>
        </w:rPr>
        <w:t xml:space="preserve"> deste artigo compreende a fiscalização contábil, financeira, orçamentária, operacional e patrimonial e abrange os aspectos de legalidade, legitimidade, economicidade e razoabilidade de atos que gerem receita ou despesa pública. </w:t>
      </w:r>
    </w:p>
    <w:p w:rsidR="003D3134" w:rsidRDefault="00105040"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Vislumbra-se, pela evidência do texto do parágrafo único, que </w:t>
      </w:r>
      <w:r w:rsidR="0047260F">
        <w:rPr>
          <w:rFonts w:ascii="Arial" w:hAnsi="Arial" w:cs="Arial"/>
          <w:sz w:val="23"/>
          <w:szCs w:val="23"/>
        </w:rPr>
        <w:t>a competência fiscalizatória deste Tribunal não se restringe às questões contábeis e estritamente legais das despesas públicas, alcançando também o controle operacional e os aspectos da legitimidade, da economicidade e da razoabilidade dos atos administrativos.</w:t>
      </w:r>
    </w:p>
    <w:p w:rsidR="005D515F" w:rsidRDefault="0047260F"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lastRenderedPageBreak/>
        <w:t xml:space="preserve">E nem poderia ser diferente. No atual estágio de evolução </w:t>
      </w:r>
      <w:r w:rsidR="005D515F">
        <w:rPr>
          <w:rFonts w:ascii="Arial" w:hAnsi="Arial" w:cs="Arial"/>
          <w:sz w:val="23"/>
          <w:szCs w:val="23"/>
        </w:rPr>
        <w:t>político-social, em que ainda se almeja a transição do Estado burocrático para o gerencial e que a eficiência alçou a condição de princípio constitucional</w:t>
      </w:r>
      <w:r>
        <w:rPr>
          <w:rFonts w:ascii="Arial" w:hAnsi="Arial" w:cs="Arial"/>
          <w:sz w:val="23"/>
          <w:szCs w:val="23"/>
        </w:rPr>
        <w:t>, impossível conceber</w:t>
      </w:r>
      <w:r w:rsidR="005D515F">
        <w:rPr>
          <w:rFonts w:ascii="Arial" w:hAnsi="Arial" w:cs="Arial"/>
          <w:sz w:val="23"/>
          <w:szCs w:val="23"/>
        </w:rPr>
        <w:t xml:space="preserve"> um controle que se pretenda efetivo e eficaz, mas que se restrinja aos aspectos formais da atuação administrativa. </w:t>
      </w:r>
    </w:p>
    <w:p w:rsidR="0047260F" w:rsidRDefault="005D515F"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Os Tribunais de Contas, no exercício do seu mister constitucional, não só podem como devem ir além, promovendo uma fiscalização com foco na eficiência e na qualidade do gasto público</w:t>
      </w:r>
      <w:r w:rsidR="0050281F">
        <w:rPr>
          <w:rFonts w:ascii="Arial" w:hAnsi="Arial" w:cs="Arial"/>
          <w:sz w:val="23"/>
          <w:szCs w:val="23"/>
        </w:rPr>
        <w:t>, espraiando-se também pelas políticas públicas</w:t>
      </w:r>
      <w:r>
        <w:rPr>
          <w:rFonts w:ascii="Arial" w:hAnsi="Arial" w:cs="Arial"/>
          <w:sz w:val="23"/>
          <w:szCs w:val="23"/>
        </w:rPr>
        <w:t>, esta sim apta a produzir resultados úteis ao aprimoramento da Administração e, por consequência, à satisfação dos interesses da sociedade.</w:t>
      </w:r>
    </w:p>
    <w:p w:rsidR="003D3134" w:rsidRDefault="005D515F"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Essa concepção </w:t>
      </w:r>
      <w:r w:rsidR="00A12F90">
        <w:rPr>
          <w:rFonts w:ascii="Arial" w:hAnsi="Arial" w:cs="Arial"/>
          <w:sz w:val="23"/>
          <w:szCs w:val="23"/>
        </w:rPr>
        <w:t xml:space="preserve">contemporânea </w:t>
      </w:r>
      <w:r>
        <w:rPr>
          <w:rFonts w:ascii="Arial" w:hAnsi="Arial" w:cs="Arial"/>
          <w:sz w:val="23"/>
          <w:szCs w:val="23"/>
        </w:rPr>
        <w:t>de controle é também defendida por Jorge Ulisses Jacoby Fernandes, senão vejamos:</w:t>
      </w:r>
    </w:p>
    <w:p w:rsidR="00F01530" w:rsidRPr="00F01530" w:rsidRDefault="00F01530" w:rsidP="00F01530">
      <w:pPr>
        <w:tabs>
          <w:tab w:val="left" w:pos="1418"/>
        </w:tabs>
        <w:spacing w:after="200"/>
        <w:ind w:left="2268"/>
        <w:jc w:val="both"/>
        <w:rPr>
          <w:rFonts w:ascii="Arial" w:hAnsi="Arial" w:cs="Arial"/>
          <w:sz w:val="20"/>
          <w:szCs w:val="20"/>
        </w:rPr>
      </w:pPr>
      <w:r>
        <w:rPr>
          <w:rFonts w:ascii="Arial" w:hAnsi="Arial" w:cs="Arial"/>
          <w:color w:val="000000"/>
          <w:sz w:val="20"/>
          <w:szCs w:val="20"/>
        </w:rPr>
        <w:t>“</w:t>
      </w:r>
      <w:r w:rsidRPr="00F01530">
        <w:rPr>
          <w:rFonts w:ascii="Arial" w:hAnsi="Arial" w:cs="Arial"/>
          <w:color w:val="000000"/>
          <w:sz w:val="20"/>
          <w:szCs w:val="20"/>
        </w:rPr>
        <w:t xml:space="preserve">No novo milênio, tal como já prevê a atual Lei Orgânica do Tribunal de Contas da União e de todas as esferas de governo, </w:t>
      </w:r>
      <w:r w:rsidRPr="00F01530">
        <w:rPr>
          <w:rFonts w:ascii="Arial" w:hAnsi="Arial" w:cs="Arial"/>
          <w:color w:val="000000"/>
          <w:sz w:val="20"/>
          <w:szCs w:val="20"/>
          <w:u w:val="single"/>
        </w:rPr>
        <w:t>os Tribunais de Contas analisam a eficiência dos órgãos jurisdicionados</w:t>
      </w:r>
      <w:r w:rsidRPr="00F01530">
        <w:rPr>
          <w:rFonts w:ascii="Arial" w:hAnsi="Arial" w:cs="Arial"/>
          <w:color w:val="000000"/>
          <w:sz w:val="20"/>
          <w:szCs w:val="20"/>
        </w:rPr>
        <w:t xml:space="preserve">. Por esse motivo, no mundo inteiro, as entidades de fiscalização externa caminham por abandonar o controle contábil e buscar o controle gerencial, que não se limita a dizer se a despesa foi realizada de acordo com os critérios de validade da contabilidade, mas define a contabilidade analítica de custos e busca de resultados efetivos. </w:t>
      </w:r>
      <w:r w:rsidRPr="00F01530">
        <w:rPr>
          <w:rFonts w:ascii="Arial" w:hAnsi="Arial" w:cs="Arial"/>
          <w:color w:val="000000"/>
          <w:sz w:val="20"/>
          <w:szCs w:val="20"/>
          <w:u w:val="single"/>
        </w:rPr>
        <w:t>Luz para o princípio da eficiência, colaborando com o processo decisório de políticas públicas,</w:t>
      </w:r>
      <w:r w:rsidRPr="00F01530">
        <w:rPr>
          <w:rFonts w:ascii="Arial" w:hAnsi="Arial" w:cs="Arial"/>
          <w:color w:val="000000"/>
          <w:sz w:val="20"/>
          <w:szCs w:val="20"/>
        </w:rPr>
        <w:t xml:space="preserve"> como o controle tradicionalmente estabelece o </w:t>
      </w:r>
      <w:r w:rsidRPr="00F01530">
        <w:rPr>
          <w:rFonts w:ascii="Arial" w:hAnsi="Arial" w:cs="Arial"/>
          <w:i/>
          <w:iCs/>
          <w:color w:val="000000"/>
          <w:sz w:val="20"/>
          <w:szCs w:val="20"/>
        </w:rPr>
        <w:t xml:space="preserve">feedback </w:t>
      </w:r>
      <w:r w:rsidRPr="00F01530">
        <w:rPr>
          <w:rFonts w:ascii="Arial" w:hAnsi="Arial" w:cs="Arial"/>
          <w:color w:val="000000"/>
          <w:sz w:val="20"/>
          <w:szCs w:val="20"/>
        </w:rPr>
        <w:t>para o sistema administrativo, o redirecionamento das ações programadas</w:t>
      </w:r>
      <w:r>
        <w:rPr>
          <w:rFonts w:ascii="Arial" w:hAnsi="Arial" w:cs="Arial"/>
          <w:color w:val="000000"/>
          <w:sz w:val="20"/>
          <w:szCs w:val="20"/>
        </w:rPr>
        <w:t>.”</w:t>
      </w:r>
      <w:r w:rsidR="00DF57C0">
        <w:rPr>
          <w:rStyle w:val="Refdenotaderodap"/>
          <w:rFonts w:ascii="Arial" w:hAnsi="Arial" w:cs="Arial"/>
          <w:color w:val="000000"/>
          <w:sz w:val="20"/>
          <w:szCs w:val="20"/>
        </w:rPr>
        <w:footnoteReference w:id="1"/>
      </w:r>
    </w:p>
    <w:p w:rsidR="00876198" w:rsidRDefault="00A12F90"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Nesse contexto, entendemos que </w:t>
      </w:r>
      <w:r w:rsidR="00382D0C">
        <w:rPr>
          <w:rFonts w:ascii="Arial" w:hAnsi="Arial" w:cs="Arial"/>
          <w:sz w:val="23"/>
          <w:szCs w:val="23"/>
        </w:rPr>
        <w:t>a análise d</w:t>
      </w:r>
      <w:r>
        <w:rPr>
          <w:rFonts w:ascii="Arial" w:hAnsi="Arial" w:cs="Arial"/>
          <w:sz w:val="23"/>
          <w:szCs w:val="23"/>
        </w:rPr>
        <w:t xml:space="preserve">os fatos </w:t>
      </w:r>
      <w:r w:rsidR="00382D0C">
        <w:rPr>
          <w:rFonts w:ascii="Arial" w:hAnsi="Arial" w:cs="Arial"/>
          <w:sz w:val="23"/>
          <w:szCs w:val="23"/>
        </w:rPr>
        <w:t xml:space="preserve">apontados </w:t>
      </w:r>
      <w:r>
        <w:rPr>
          <w:rFonts w:ascii="Arial" w:hAnsi="Arial" w:cs="Arial"/>
          <w:sz w:val="23"/>
          <w:szCs w:val="23"/>
        </w:rPr>
        <w:t>pela 4ª CFM nos itens 1, 2, 4 e 6 do seu parecer est</w:t>
      </w:r>
      <w:r w:rsidR="00382D0C">
        <w:rPr>
          <w:rFonts w:ascii="Arial" w:hAnsi="Arial" w:cs="Arial"/>
          <w:sz w:val="23"/>
          <w:szCs w:val="23"/>
        </w:rPr>
        <w:t>á</w:t>
      </w:r>
      <w:r>
        <w:rPr>
          <w:rFonts w:ascii="Arial" w:hAnsi="Arial" w:cs="Arial"/>
          <w:sz w:val="23"/>
          <w:szCs w:val="23"/>
        </w:rPr>
        <w:t xml:space="preserve">, </w:t>
      </w:r>
      <w:r w:rsidR="00AD3991">
        <w:rPr>
          <w:rFonts w:ascii="Arial" w:hAnsi="Arial" w:cs="Arial"/>
          <w:sz w:val="23"/>
          <w:szCs w:val="23"/>
        </w:rPr>
        <w:t>de fato</w:t>
      </w:r>
      <w:r>
        <w:rPr>
          <w:rFonts w:ascii="Arial" w:hAnsi="Arial" w:cs="Arial"/>
          <w:sz w:val="23"/>
          <w:szCs w:val="23"/>
        </w:rPr>
        <w:t>, inserid</w:t>
      </w:r>
      <w:r w:rsidR="00382D0C">
        <w:rPr>
          <w:rFonts w:ascii="Arial" w:hAnsi="Arial" w:cs="Arial"/>
          <w:sz w:val="23"/>
          <w:szCs w:val="23"/>
        </w:rPr>
        <w:t>a</w:t>
      </w:r>
      <w:r>
        <w:rPr>
          <w:rFonts w:ascii="Arial" w:hAnsi="Arial" w:cs="Arial"/>
          <w:sz w:val="23"/>
          <w:szCs w:val="23"/>
        </w:rPr>
        <w:t xml:space="preserve"> entre </w:t>
      </w:r>
      <w:r w:rsidR="0050281F">
        <w:rPr>
          <w:rFonts w:ascii="Arial" w:hAnsi="Arial" w:cs="Arial"/>
          <w:sz w:val="23"/>
          <w:szCs w:val="23"/>
        </w:rPr>
        <w:t xml:space="preserve">as atribuições </w:t>
      </w:r>
      <w:r>
        <w:rPr>
          <w:rFonts w:ascii="Arial" w:hAnsi="Arial" w:cs="Arial"/>
          <w:sz w:val="23"/>
          <w:szCs w:val="23"/>
        </w:rPr>
        <w:t>fiscalizatória</w:t>
      </w:r>
      <w:r w:rsidR="0050281F">
        <w:rPr>
          <w:rFonts w:ascii="Arial" w:hAnsi="Arial" w:cs="Arial"/>
          <w:sz w:val="23"/>
          <w:szCs w:val="23"/>
        </w:rPr>
        <w:t>s</w:t>
      </w:r>
      <w:r>
        <w:rPr>
          <w:rFonts w:ascii="Arial" w:hAnsi="Arial" w:cs="Arial"/>
          <w:sz w:val="23"/>
          <w:szCs w:val="23"/>
        </w:rPr>
        <w:t xml:space="preserve"> desta Corte de Contas.</w:t>
      </w:r>
    </w:p>
    <w:p w:rsidR="0050281F" w:rsidRPr="001229A0" w:rsidRDefault="0050281F"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sidRPr="001229A0">
        <w:rPr>
          <w:rFonts w:ascii="Arial" w:hAnsi="Arial" w:cs="Arial"/>
          <w:sz w:val="23"/>
          <w:szCs w:val="23"/>
        </w:rPr>
        <w:t>Isso não quer dizer, todavia, que o controle de políticas públicas</w:t>
      </w:r>
      <w:r w:rsidR="001229A0">
        <w:rPr>
          <w:rFonts w:ascii="Arial" w:hAnsi="Arial" w:cs="Arial"/>
          <w:sz w:val="23"/>
          <w:szCs w:val="23"/>
        </w:rPr>
        <w:t>,</w:t>
      </w:r>
      <w:r w:rsidRPr="001229A0">
        <w:rPr>
          <w:rFonts w:ascii="Arial" w:hAnsi="Arial" w:cs="Arial"/>
          <w:sz w:val="23"/>
          <w:szCs w:val="23"/>
        </w:rPr>
        <w:t xml:space="preserve"> direcionado à eficiência e à economicidade</w:t>
      </w:r>
      <w:r w:rsidR="001229A0">
        <w:rPr>
          <w:rFonts w:ascii="Arial" w:hAnsi="Arial" w:cs="Arial"/>
          <w:sz w:val="23"/>
          <w:szCs w:val="23"/>
        </w:rPr>
        <w:t>,</w:t>
      </w:r>
      <w:r w:rsidRPr="001229A0">
        <w:rPr>
          <w:rFonts w:ascii="Arial" w:hAnsi="Arial" w:cs="Arial"/>
          <w:sz w:val="23"/>
          <w:szCs w:val="23"/>
        </w:rPr>
        <w:t xml:space="preserve"> </w:t>
      </w:r>
      <w:r w:rsidR="004E73BB">
        <w:rPr>
          <w:rFonts w:ascii="Arial" w:hAnsi="Arial" w:cs="Arial"/>
          <w:sz w:val="23"/>
          <w:szCs w:val="23"/>
        </w:rPr>
        <w:t xml:space="preserve">deva </w:t>
      </w:r>
      <w:r w:rsidRPr="001229A0">
        <w:rPr>
          <w:rFonts w:ascii="Arial" w:hAnsi="Arial" w:cs="Arial"/>
          <w:sz w:val="23"/>
          <w:szCs w:val="23"/>
        </w:rPr>
        <w:t>se</w:t>
      </w:r>
      <w:r w:rsidR="004E73BB">
        <w:rPr>
          <w:rFonts w:ascii="Arial" w:hAnsi="Arial" w:cs="Arial"/>
          <w:sz w:val="23"/>
          <w:szCs w:val="23"/>
        </w:rPr>
        <w:t>r</w:t>
      </w:r>
      <w:r w:rsidRPr="001229A0">
        <w:rPr>
          <w:rFonts w:ascii="Arial" w:hAnsi="Arial" w:cs="Arial"/>
          <w:sz w:val="23"/>
          <w:szCs w:val="23"/>
        </w:rPr>
        <w:t xml:space="preserve"> exerci</w:t>
      </w:r>
      <w:r w:rsidR="004E73BB">
        <w:rPr>
          <w:rFonts w:ascii="Arial" w:hAnsi="Arial" w:cs="Arial"/>
          <w:sz w:val="23"/>
          <w:szCs w:val="23"/>
        </w:rPr>
        <w:t xml:space="preserve">do </w:t>
      </w:r>
      <w:r w:rsidRPr="001229A0">
        <w:rPr>
          <w:rFonts w:ascii="Arial" w:hAnsi="Arial" w:cs="Arial"/>
          <w:sz w:val="23"/>
          <w:szCs w:val="23"/>
        </w:rPr>
        <w:t>por qualquer meio.</w:t>
      </w:r>
      <w:r w:rsidR="00215B19" w:rsidRPr="001229A0">
        <w:rPr>
          <w:rFonts w:ascii="Arial" w:hAnsi="Arial" w:cs="Arial"/>
          <w:sz w:val="23"/>
          <w:szCs w:val="23"/>
        </w:rPr>
        <w:t xml:space="preserve"> </w:t>
      </w:r>
      <w:r w:rsidRPr="001229A0">
        <w:rPr>
          <w:rFonts w:ascii="Arial" w:hAnsi="Arial" w:cs="Arial"/>
          <w:sz w:val="23"/>
          <w:szCs w:val="23"/>
        </w:rPr>
        <w:t xml:space="preserve">Aliás, talvez </w:t>
      </w:r>
      <w:r w:rsidR="00215B19" w:rsidRPr="001229A0">
        <w:rPr>
          <w:rFonts w:ascii="Arial" w:hAnsi="Arial" w:cs="Arial"/>
          <w:sz w:val="23"/>
          <w:szCs w:val="23"/>
        </w:rPr>
        <w:t xml:space="preserve">seja esse </w:t>
      </w:r>
      <w:r w:rsidRPr="001229A0">
        <w:rPr>
          <w:rFonts w:ascii="Arial" w:hAnsi="Arial" w:cs="Arial"/>
          <w:sz w:val="23"/>
          <w:szCs w:val="23"/>
        </w:rPr>
        <w:t>o maior desafio do controle externo atual</w:t>
      </w:r>
      <w:r w:rsidR="00AD3991" w:rsidRPr="001229A0">
        <w:rPr>
          <w:rFonts w:ascii="Arial" w:hAnsi="Arial" w:cs="Arial"/>
          <w:sz w:val="23"/>
          <w:szCs w:val="23"/>
        </w:rPr>
        <w:t xml:space="preserve">, </w:t>
      </w:r>
      <w:r w:rsidR="0079556E">
        <w:rPr>
          <w:rFonts w:ascii="Arial" w:hAnsi="Arial" w:cs="Arial"/>
          <w:sz w:val="23"/>
          <w:szCs w:val="23"/>
        </w:rPr>
        <w:t>qual seja</w:t>
      </w:r>
      <w:r w:rsidR="004E73BB">
        <w:rPr>
          <w:rFonts w:ascii="Arial" w:hAnsi="Arial" w:cs="Arial"/>
          <w:sz w:val="23"/>
          <w:szCs w:val="23"/>
        </w:rPr>
        <w:t>,</w:t>
      </w:r>
      <w:r w:rsidR="0079556E">
        <w:rPr>
          <w:rFonts w:ascii="Arial" w:hAnsi="Arial" w:cs="Arial"/>
          <w:sz w:val="23"/>
          <w:szCs w:val="23"/>
        </w:rPr>
        <w:t xml:space="preserve"> </w:t>
      </w:r>
      <w:r w:rsidR="00AD3991" w:rsidRPr="001229A0">
        <w:rPr>
          <w:rFonts w:ascii="Arial" w:hAnsi="Arial" w:cs="Arial"/>
          <w:sz w:val="23"/>
          <w:szCs w:val="23"/>
        </w:rPr>
        <w:t>fiscalizar a qualidade do gasto público</w:t>
      </w:r>
      <w:r w:rsidR="00215B19" w:rsidRPr="001229A0">
        <w:rPr>
          <w:rFonts w:ascii="Arial" w:hAnsi="Arial" w:cs="Arial"/>
          <w:sz w:val="23"/>
          <w:szCs w:val="23"/>
        </w:rPr>
        <w:t>, dado o caráter dinâmico da implementação dessas políticas.</w:t>
      </w:r>
    </w:p>
    <w:p w:rsidR="00215B19" w:rsidRDefault="00215B19"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Para tanto, muito se tem utilizado a técnica das auditorias operacionais,</w:t>
      </w:r>
      <w:r w:rsidR="0060471D">
        <w:rPr>
          <w:rFonts w:ascii="Arial" w:hAnsi="Arial" w:cs="Arial"/>
          <w:sz w:val="23"/>
          <w:szCs w:val="23"/>
        </w:rPr>
        <w:t xml:space="preserve"> </w:t>
      </w:r>
      <w:r w:rsidR="00C97DD5">
        <w:rPr>
          <w:rFonts w:ascii="Arial" w:hAnsi="Arial" w:cs="Arial"/>
          <w:sz w:val="23"/>
          <w:szCs w:val="23"/>
        </w:rPr>
        <w:t xml:space="preserve">orientadas a avaliar a capacidade dos entes em cumprir seus objetivos e alcançar as </w:t>
      </w:r>
      <w:r w:rsidR="00C97DD5">
        <w:rPr>
          <w:rFonts w:ascii="Arial" w:hAnsi="Arial" w:cs="Arial"/>
          <w:sz w:val="23"/>
          <w:szCs w:val="23"/>
        </w:rPr>
        <w:lastRenderedPageBreak/>
        <w:t>metas traçadas, enfocando mais o resultado da sua ação do que a mera compatibilid</w:t>
      </w:r>
      <w:r w:rsidR="00AD3991">
        <w:rPr>
          <w:rFonts w:ascii="Arial" w:hAnsi="Arial" w:cs="Arial"/>
          <w:sz w:val="23"/>
          <w:szCs w:val="23"/>
        </w:rPr>
        <w:t>ade da formação dos atos com o texto normativo</w:t>
      </w:r>
      <w:r w:rsidR="00C97DD5">
        <w:rPr>
          <w:rFonts w:ascii="Arial" w:hAnsi="Arial" w:cs="Arial"/>
          <w:sz w:val="23"/>
          <w:szCs w:val="23"/>
        </w:rPr>
        <w:t>.</w:t>
      </w:r>
    </w:p>
    <w:p w:rsidR="00C97DD5" w:rsidRDefault="00C97DD5"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Nessa lógica, parece claro que a análise empreendida pelo Tribunal de Contas no bojo das denúncias e representações</w:t>
      </w:r>
      <w:r w:rsidR="004F285D">
        <w:rPr>
          <w:rFonts w:ascii="Arial" w:hAnsi="Arial" w:cs="Arial"/>
          <w:sz w:val="23"/>
          <w:szCs w:val="23"/>
        </w:rPr>
        <w:t xml:space="preserve">, como a que ora se apresenta, não é a mais adequada para exercitar o controle sobre os atos relatados pela CEI, em especial por se tratar de controle </w:t>
      </w:r>
      <w:r w:rsidR="004F285D" w:rsidRPr="004F285D">
        <w:rPr>
          <w:rFonts w:ascii="Arial" w:hAnsi="Arial" w:cs="Arial"/>
          <w:i/>
          <w:sz w:val="23"/>
          <w:szCs w:val="23"/>
        </w:rPr>
        <w:t>a posteriori</w:t>
      </w:r>
      <w:r w:rsidR="004F285D">
        <w:rPr>
          <w:rFonts w:ascii="Arial" w:hAnsi="Arial" w:cs="Arial"/>
          <w:sz w:val="23"/>
          <w:szCs w:val="23"/>
        </w:rPr>
        <w:t>.</w:t>
      </w:r>
    </w:p>
    <w:p w:rsidR="004F285D" w:rsidRDefault="004F285D"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Nesta seara, nem o Tribunal estaria munido de todos os elementos necessários à avaliação da situação do Município, nem a sua análise produziria um resultado útil, sob a perspectiva da melhor gestão dos recursos.</w:t>
      </w:r>
    </w:p>
    <w:p w:rsidR="004F285D" w:rsidRDefault="004F285D"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Assim, embora por outros fundamentos, manifestamos acordo com a Unidade Técnica quanto </w:t>
      </w:r>
      <w:r w:rsidRPr="00D37AE8">
        <w:rPr>
          <w:rFonts w:ascii="Arial" w:hAnsi="Arial" w:cs="Arial"/>
          <w:sz w:val="23"/>
          <w:szCs w:val="23"/>
          <w:u w:val="single"/>
        </w:rPr>
        <w:t>à impossibilidade de se realizar o exame dos fatos indicados nos itens 1</w:t>
      </w:r>
      <w:r w:rsidR="004F1570" w:rsidRPr="00D37AE8">
        <w:rPr>
          <w:rFonts w:ascii="Arial" w:hAnsi="Arial" w:cs="Arial"/>
          <w:sz w:val="23"/>
          <w:szCs w:val="23"/>
          <w:u w:val="single"/>
        </w:rPr>
        <w:t>, 2, 4 e 6 do parecer técnico em sede de representação</w:t>
      </w:r>
      <w:r w:rsidR="004F1570">
        <w:rPr>
          <w:rFonts w:ascii="Arial" w:hAnsi="Arial" w:cs="Arial"/>
          <w:sz w:val="23"/>
          <w:szCs w:val="23"/>
        </w:rPr>
        <w:t>.</w:t>
      </w:r>
    </w:p>
    <w:p w:rsidR="004F1570" w:rsidRDefault="004F1570"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Sugerimos, por isso, que seja desentranhada a documentação pertinente a esses assuntos, cujos elementos podem servir à composição de matriz de risco ou subsidiar a efetivação de outras modalidades de ações de controle, </w:t>
      </w:r>
      <w:r w:rsidR="007354A3">
        <w:rPr>
          <w:rFonts w:ascii="Arial" w:hAnsi="Arial" w:cs="Arial"/>
          <w:sz w:val="23"/>
          <w:szCs w:val="23"/>
        </w:rPr>
        <w:t xml:space="preserve">além de </w:t>
      </w:r>
      <w:r>
        <w:rPr>
          <w:rFonts w:ascii="Arial" w:hAnsi="Arial" w:cs="Arial"/>
          <w:sz w:val="23"/>
          <w:szCs w:val="23"/>
        </w:rPr>
        <w:t>permiti</w:t>
      </w:r>
      <w:r w:rsidR="007354A3">
        <w:rPr>
          <w:rFonts w:ascii="Arial" w:hAnsi="Arial" w:cs="Arial"/>
          <w:sz w:val="23"/>
          <w:szCs w:val="23"/>
        </w:rPr>
        <w:t>r</w:t>
      </w:r>
      <w:r>
        <w:rPr>
          <w:rFonts w:ascii="Arial" w:hAnsi="Arial" w:cs="Arial"/>
          <w:sz w:val="23"/>
          <w:szCs w:val="23"/>
        </w:rPr>
        <w:t xml:space="preserve"> o melhor manuseio do</w:t>
      </w:r>
      <w:r w:rsidR="001A2B48">
        <w:rPr>
          <w:rFonts w:ascii="Arial" w:hAnsi="Arial" w:cs="Arial"/>
          <w:sz w:val="23"/>
          <w:szCs w:val="23"/>
        </w:rPr>
        <w:t>s autos</w:t>
      </w:r>
      <w:r>
        <w:rPr>
          <w:rFonts w:ascii="Arial" w:hAnsi="Arial" w:cs="Arial"/>
          <w:sz w:val="23"/>
          <w:szCs w:val="23"/>
        </w:rPr>
        <w:t>.</w:t>
      </w:r>
    </w:p>
    <w:p w:rsidR="004F1570" w:rsidRPr="00002A6B" w:rsidRDefault="008D59D8" w:rsidP="004F1570">
      <w:pPr>
        <w:tabs>
          <w:tab w:val="left" w:pos="1418"/>
        </w:tabs>
        <w:spacing w:after="200" w:line="360" w:lineRule="auto"/>
        <w:jc w:val="both"/>
        <w:rPr>
          <w:rFonts w:ascii="Arial" w:hAnsi="Arial" w:cs="Arial"/>
          <w:b/>
          <w:sz w:val="23"/>
          <w:szCs w:val="23"/>
        </w:rPr>
      </w:pPr>
      <w:r>
        <w:rPr>
          <w:rFonts w:ascii="Arial" w:hAnsi="Arial" w:cs="Arial"/>
          <w:b/>
          <w:sz w:val="23"/>
          <w:szCs w:val="23"/>
        </w:rPr>
        <w:t>Da lotação de servidor em mais de uma unidade de saúde</w:t>
      </w:r>
    </w:p>
    <w:p w:rsidR="00215B19" w:rsidRDefault="00BA7B0E"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Outra situação apontada no relatório final da CEI</w:t>
      </w:r>
      <w:r w:rsidR="00D57C48">
        <w:rPr>
          <w:rFonts w:ascii="Arial" w:hAnsi="Arial" w:cs="Arial"/>
          <w:sz w:val="23"/>
          <w:szCs w:val="23"/>
        </w:rPr>
        <w:t xml:space="preserve">, relacionada no item </w:t>
      </w:r>
      <w:r w:rsidR="00AC40EB">
        <w:rPr>
          <w:rFonts w:ascii="Arial" w:hAnsi="Arial" w:cs="Arial"/>
          <w:sz w:val="23"/>
          <w:szCs w:val="23"/>
        </w:rPr>
        <w:t>8</w:t>
      </w:r>
      <w:r w:rsidR="00D57C48">
        <w:rPr>
          <w:rFonts w:ascii="Arial" w:hAnsi="Arial" w:cs="Arial"/>
          <w:sz w:val="23"/>
          <w:szCs w:val="23"/>
        </w:rPr>
        <w:t xml:space="preserve"> do exame técnico,</w:t>
      </w:r>
      <w:r>
        <w:rPr>
          <w:rFonts w:ascii="Arial" w:hAnsi="Arial" w:cs="Arial"/>
          <w:sz w:val="23"/>
          <w:szCs w:val="23"/>
        </w:rPr>
        <w:t xml:space="preserve"> refere-se à lotação da servidora Gabriela Vizzoto, </w:t>
      </w:r>
      <w:r w:rsidR="003E06D0">
        <w:rPr>
          <w:rFonts w:ascii="Arial" w:hAnsi="Arial" w:cs="Arial"/>
          <w:sz w:val="23"/>
          <w:szCs w:val="23"/>
        </w:rPr>
        <w:t>que, segundo relatado, era a farmacêutica responsável pelo almoxarifado, embora estivesse lotada na Farmácia de Medicamentos Excepcionais e gerenciasse projetos como o “Remédio em Casa” e “Hiperdia”.</w:t>
      </w:r>
    </w:p>
    <w:p w:rsidR="003E06D0" w:rsidRDefault="00B80FFE"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Neste ponto, como bem </w:t>
      </w:r>
      <w:r w:rsidR="001403B6">
        <w:rPr>
          <w:rFonts w:ascii="Arial" w:hAnsi="Arial" w:cs="Arial"/>
          <w:sz w:val="23"/>
          <w:szCs w:val="23"/>
        </w:rPr>
        <w:t xml:space="preserve">demonstrado pelo quadro de fl. 36624 (vol. 112), confeccionado pela 4ª CFM com base na documentação encaminhada, verifica-se que </w:t>
      </w:r>
      <w:r w:rsidR="00F1777B">
        <w:rPr>
          <w:rFonts w:ascii="Arial" w:hAnsi="Arial" w:cs="Arial"/>
          <w:sz w:val="23"/>
          <w:szCs w:val="23"/>
        </w:rPr>
        <w:t xml:space="preserve">a mencionada servidora, desde sua admissão no serviço público municipal, </w:t>
      </w:r>
      <w:r w:rsidR="00C96026">
        <w:rPr>
          <w:rFonts w:ascii="Arial" w:hAnsi="Arial" w:cs="Arial"/>
          <w:sz w:val="23"/>
          <w:szCs w:val="23"/>
        </w:rPr>
        <w:t xml:space="preserve">ocupou, sucessiva e não concomitantemente, três diferentes cargos e </w:t>
      </w:r>
      <w:r w:rsidR="00F1777B">
        <w:rPr>
          <w:rFonts w:ascii="Arial" w:hAnsi="Arial" w:cs="Arial"/>
          <w:sz w:val="23"/>
          <w:szCs w:val="23"/>
        </w:rPr>
        <w:t xml:space="preserve">foi lotada em várias unidades da Secretaria de Saúde, inclusive as descritas na CEI, quais sejam Seção de </w:t>
      </w:r>
      <w:r w:rsidR="00F1777B">
        <w:rPr>
          <w:rFonts w:ascii="Arial" w:hAnsi="Arial" w:cs="Arial"/>
          <w:sz w:val="23"/>
          <w:szCs w:val="23"/>
        </w:rPr>
        <w:lastRenderedPageBreak/>
        <w:t>Gestão de Suprimentos (Almoxarifado), Seção de Suprimentos Médico-Hospitalares, Centro de Saúde Eurico Vilela e Farmácia de Medicamentos Excepcionais.</w:t>
      </w:r>
    </w:p>
    <w:p w:rsidR="00215B19" w:rsidRDefault="00672265"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Não houve, pois, acúmulo de cargos</w:t>
      </w:r>
      <w:r w:rsidR="00C96026">
        <w:rPr>
          <w:rFonts w:ascii="Arial" w:hAnsi="Arial" w:cs="Arial"/>
          <w:sz w:val="23"/>
          <w:szCs w:val="23"/>
        </w:rPr>
        <w:t xml:space="preserve"> públicos, mas a nomeação sucessiva para três diferentes cargos, os quais foram exercidos em diferentes unidades do Município</w:t>
      </w:r>
      <w:r w:rsidR="005D4AB5">
        <w:rPr>
          <w:rFonts w:ascii="Arial" w:hAnsi="Arial" w:cs="Arial"/>
          <w:sz w:val="23"/>
          <w:szCs w:val="23"/>
        </w:rPr>
        <w:t>, não havendo comprovação de exercício concomitante em mais de um órgão municipal</w:t>
      </w:r>
      <w:r w:rsidR="00C96026">
        <w:rPr>
          <w:rFonts w:ascii="Arial" w:hAnsi="Arial" w:cs="Arial"/>
          <w:sz w:val="23"/>
          <w:szCs w:val="23"/>
        </w:rPr>
        <w:t>.</w:t>
      </w:r>
    </w:p>
    <w:p w:rsidR="006670D5" w:rsidRPr="005D4AB5" w:rsidRDefault="001A1ACA" w:rsidP="005D4AB5">
      <w:pPr>
        <w:numPr>
          <w:ilvl w:val="0"/>
          <w:numId w:val="1"/>
        </w:numPr>
        <w:tabs>
          <w:tab w:val="clear" w:pos="2808"/>
          <w:tab w:val="left" w:pos="1418"/>
        </w:tabs>
        <w:spacing w:after="200" w:line="360" w:lineRule="auto"/>
        <w:ind w:left="0" w:firstLine="0"/>
        <w:jc w:val="both"/>
        <w:rPr>
          <w:rFonts w:ascii="Arial" w:hAnsi="Arial" w:cs="Arial"/>
          <w:sz w:val="23"/>
          <w:szCs w:val="23"/>
        </w:rPr>
      </w:pPr>
      <w:r w:rsidRPr="005D4AB5">
        <w:rPr>
          <w:rFonts w:ascii="Arial" w:hAnsi="Arial" w:cs="Arial"/>
          <w:sz w:val="23"/>
          <w:szCs w:val="23"/>
        </w:rPr>
        <w:t xml:space="preserve">Deste modo, entendemos </w:t>
      </w:r>
      <w:r w:rsidRPr="005D4AB5">
        <w:rPr>
          <w:rFonts w:ascii="Arial" w:hAnsi="Arial" w:cs="Arial"/>
          <w:sz w:val="23"/>
          <w:szCs w:val="23"/>
          <w:u w:val="single"/>
        </w:rPr>
        <w:t xml:space="preserve">não ter havido acumulação de cargos ou sobreposição </w:t>
      </w:r>
      <w:r w:rsidR="00960EE5" w:rsidRPr="005D4AB5">
        <w:rPr>
          <w:rFonts w:ascii="Arial" w:hAnsi="Arial" w:cs="Arial"/>
          <w:sz w:val="23"/>
          <w:szCs w:val="23"/>
          <w:u w:val="single"/>
        </w:rPr>
        <w:t>ilegal</w:t>
      </w:r>
      <w:r w:rsidR="00B502DF" w:rsidRPr="005D4AB5">
        <w:rPr>
          <w:rFonts w:ascii="Arial" w:hAnsi="Arial" w:cs="Arial"/>
          <w:sz w:val="23"/>
          <w:szCs w:val="23"/>
          <w:u w:val="single"/>
        </w:rPr>
        <w:t xml:space="preserve"> </w:t>
      </w:r>
      <w:r w:rsidRPr="005D4AB5">
        <w:rPr>
          <w:rFonts w:ascii="Arial" w:hAnsi="Arial" w:cs="Arial"/>
          <w:sz w:val="23"/>
          <w:szCs w:val="23"/>
          <w:u w:val="single"/>
        </w:rPr>
        <w:t>de lotaç</w:t>
      </w:r>
      <w:r w:rsidR="00B502DF" w:rsidRPr="005D4AB5">
        <w:rPr>
          <w:rFonts w:ascii="Arial" w:hAnsi="Arial" w:cs="Arial"/>
          <w:sz w:val="23"/>
          <w:szCs w:val="23"/>
          <w:u w:val="single"/>
        </w:rPr>
        <w:t>ão</w:t>
      </w:r>
      <w:r w:rsidR="005D4AB5" w:rsidRPr="005D4AB5">
        <w:rPr>
          <w:rFonts w:ascii="Arial" w:hAnsi="Arial" w:cs="Arial"/>
          <w:sz w:val="23"/>
          <w:szCs w:val="23"/>
        </w:rPr>
        <w:t>.</w:t>
      </w:r>
    </w:p>
    <w:p w:rsidR="00C26A68" w:rsidRPr="00AD3991" w:rsidRDefault="00AD3991" w:rsidP="00C26A68">
      <w:pPr>
        <w:tabs>
          <w:tab w:val="left" w:pos="1418"/>
        </w:tabs>
        <w:spacing w:after="200" w:line="360" w:lineRule="auto"/>
        <w:jc w:val="both"/>
        <w:rPr>
          <w:rFonts w:ascii="Arial" w:hAnsi="Arial" w:cs="Arial"/>
          <w:b/>
          <w:sz w:val="23"/>
          <w:szCs w:val="23"/>
        </w:rPr>
      </w:pPr>
      <w:r>
        <w:rPr>
          <w:rFonts w:ascii="Arial" w:hAnsi="Arial" w:cs="Arial"/>
          <w:b/>
          <w:sz w:val="23"/>
          <w:szCs w:val="23"/>
        </w:rPr>
        <w:t xml:space="preserve">Da </w:t>
      </w:r>
      <w:r w:rsidR="00396649">
        <w:rPr>
          <w:rFonts w:ascii="Arial" w:hAnsi="Arial" w:cs="Arial"/>
          <w:b/>
          <w:sz w:val="23"/>
          <w:szCs w:val="23"/>
        </w:rPr>
        <w:t>formalização do Convênio nº</w:t>
      </w:r>
      <w:r w:rsidR="00682A6F">
        <w:rPr>
          <w:rFonts w:ascii="Arial" w:hAnsi="Arial" w:cs="Arial"/>
          <w:b/>
          <w:sz w:val="23"/>
          <w:szCs w:val="23"/>
        </w:rPr>
        <w:t xml:space="preserve"> 001/2009</w:t>
      </w:r>
    </w:p>
    <w:p w:rsidR="00A12F90" w:rsidRDefault="007A48D1"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O relatório final da CEI suscitou, ainda, a irregularidade concernente à celebração do Convênio nº 001/2009 entre a Prefeitura Municipal de Uberaba e o Hospital Escola da Universidade Federal do Triângulo Mineiro</w:t>
      </w:r>
      <w:r w:rsidR="00FD61BF">
        <w:rPr>
          <w:rFonts w:ascii="Arial" w:hAnsi="Arial" w:cs="Arial"/>
          <w:sz w:val="23"/>
          <w:szCs w:val="23"/>
        </w:rPr>
        <w:t xml:space="preserve"> (UFTM)</w:t>
      </w:r>
      <w:r>
        <w:rPr>
          <w:rFonts w:ascii="Arial" w:hAnsi="Arial" w:cs="Arial"/>
          <w:sz w:val="23"/>
          <w:szCs w:val="23"/>
        </w:rPr>
        <w:t>, sem a prévia aprovação do Conselho Municipal de Saúde.</w:t>
      </w:r>
    </w:p>
    <w:p w:rsidR="00960EE5" w:rsidRDefault="009A3830" w:rsidP="00B12111">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Tal ajuste se realizou no âmbito </w:t>
      </w:r>
      <w:r w:rsidRPr="009A3830">
        <w:rPr>
          <w:rFonts w:ascii="Arial" w:hAnsi="Arial" w:cs="Arial"/>
          <w:sz w:val="23"/>
          <w:szCs w:val="23"/>
        </w:rPr>
        <w:t>do Programa de Reestruturação e Contratualização dos Hospitais Filantrópicos do S</w:t>
      </w:r>
      <w:r>
        <w:rPr>
          <w:rFonts w:ascii="Arial" w:hAnsi="Arial" w:cs="Arial"/>
          <w:sz w:val="23"/>
          <w:szCs w:val="23"/>
        </w:rPr>
        <w:t xml:space="preserve">istema Único de </w:t>
      </w:r>
      <w:r w:rsidRPr="009A3830">
        <w:rPr>
          <w:rFonts w:ascii="Arial" w:hAnsi="Arial" w:cs="Arial"/>
          <w:sz w:val="23"/>
          <w:szCs w:val="23"/>
        </w:rPr>
        <w:t>S</w:t>
      </w:r>
      <w:r>
        <w:rPr>
          <w:rFonts w:ascii="Arial" w:hAnsi="Arial" w:cs="Arial"/>
          <w:sz w:val="23"/>
          <w:szCs w:val="23"/>
        </w:rPr>
        <w:t xml:space="preserve">aúde (SUS), desenvolvido pelo Ministério da Saúde, </w:t>
      </w:r>
      <w:r w:rsidR="00B81301">
        <w:rPr>
          <w:rFonts w:ascii="Arial" w:hAnsi="Arial" w:cs="Arial"/>
          <w:sz w:val="23"/>
          <w:szCs w:val="23"/>
        </w:rPr>
        <w:t>por meio do qual se remunera os hospitais que aderem ao programa com base no alcance de metas quantitativas e qualitativas, pactuadas entre o representante da instituição de saúde e o gestor municipal ou estadual do SUS, com vistas ao aprimoramento dos serviços de atenção à saúde e da gestão hospitalar.</w:t>
      </w:r>
    </w:p>
    <w:p w:rsidR="00B12111" w:rsidRPr="00B12111" w:rsidRDefault="00B12111" w:rsidP="00B12111">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Nesse contexto, o processo de adesão ao Programa de Reestruturação e Contratualização dos Hospitais Filantrópicos do SUS foi delineado pela Portaria nº 3.123, de 2006, do Ministério da Saúde, em cujo Anexo II consta o fluxo para operacionalização da adesão, com os seguintes passos:</w:t>
      </w:r>
    </w:p>
    <w:p w:rsidR="00B12111" w:rsidRPr="00B12111" w:rsidRDefault="00B12111" w:rsidP="00B12111">
      <w:pPr>
        <w:pStyle w:val="NormalWeb"/>
        <w:spacing w:before="0" w:beforeAutospacing="0" w:after="0" w:afterAutospacing="0"/>
        <w:ind w:left="2268"/>
        <w:jc w:val="both"/>
        <w:rPr>
          <w:rFonts w:ascii="Arial" w:hAnsi="Arial" w:cs="Arial"/>
          <w:sz w:val="20"/>
          <w:szCs w:val="20"/>
        </w:rPr>
      </w:pPr>
      <w:r>
        <w:rPr>
          <w:rFonts w:ascii="Arial" w:hAnsi="Arial" w:cs="Arial"/>
          <w:sz w:val="20"/>
          <w:szCs w:val="20"/>
        </w:rPr>
        <w:t>“</w:t>
      </w:r>
      <w:r w:rsidRPr="00B12111">
        <w:rPr>
          <w:rFonts w:ascii="Arial" w:hAnsi="Arial" w:cs="Arial"/>
          <w:sz w:val="20"/>
          <w:szCs w:val="20"/>
        </w:rPr>
        <w:t>FLUXO PARA OPERACIONALIZAÇÃO DO PROCESSO DE CONTRATUALIZAÇÃO NO ÂMBITO DO PROGRAMA DE REESTRUTURAÇÃO E CONTRATUALIZAÇÃO DOS HOSPITAIS FILANTRÓPICOS NO SISTEMA ÚNICO DE SAÚDE</w:t>
      </w:r>
    </w:p>
    <w:p w:rsidR="00B12111" w:rsidRPr="00B12111" w:rsidRDefault="00B12111" w:rsidP="00B12111">
      <w:pPr>
        <w:pStyle w:val="NormalWeb"/>
        <w:spacing w:before="0" w:beforeAutospacing="0" w:after="0" w:afterAutospacing="0"/>
        <w:ind w:left="2268"/>
        <w:jc w:val="both"/>
        <w:rPr>
          <w:rFonts w:ascii="Arial" w:hAnsi="Arial" w:cs="Arial"/>
          <w:sz w:val="20"/>
          <w:szCs w:val="20"/>
        </w:rPr>
      </w:pPr>
      <w:r w:rsidRPr="00B12111">
        <w:rPr>
          <w:rFonts w:ascii="Arial" w:hAnsi="Arial" w:cs="Arial"/>
          <w:sz w:val="20"/>
          <w:szCs w:val="20"/>
        </w:rPr>
        <w:t xml:space="preserve">1 - Elaboração conjunta do convênio/contrato e do respectivo Plano Operativo pelas Secretarias de Estado da Saúde/Secretarias Municipais e Hospitais, conforme diretrizes gerais definidas no Termo de Referência para </w:t>
      </w:r>
      <w:r w:rsidRPr="00B12111">
        <w:rPr>
          <w:rFonts w:ascii="Arial" w:hAnsi="Arial" w:cs="Arial"/>
          <w:sz w:val="20"/>
          <w:szCs w:val="20"/>
        </w:rPr>
        <w:lastRenderedPageBreak/>
        <w:t>Contratualização entre Hospitais Filantrópicos e Gestores de Saúde, Anexo II a Portaria nº 635/SAS, de 10 de novembro de 2005.</w:t>
      </w:r>
    </w:p>
    <w:p w:rsidR="00B12111" w:rsidRPr="00B12111" w:rsidRDefault="00B12111" w:rsidP="00B12111">
      <w:pPr>
        <w:pStyle w:val="NormalWeb"/>
        <w:spacing w:before="0" w:beforeAutospacing="0" w:after="0" w:afterAutospacing="0"/>
        <w:ind w:left="2268"/>
        <w:jc w:val="both"/>
        <w:rPr>
          <w:rFonts w:ascii="Arial" w:hAnsi="Arial" w:cs="Arial"/>
          <w:sz w:val="20"/>
          <w:szCs w:val="20"/>
        </w:rPr>
      </w:pPr>
      <w:r w:rsidRPr="00B12111">
        <w:rPr>
          <w:rFonts w:ascii="Arial" w:hAnsi="Arial" w:cs="Arial"/>
          <w:sz w:val="20"/>
          <w:szCs w:val="20"/>
        </w:rPr>
        <w:t>As partes poderão usar como modelo o instrumento contratual e o Plano Operativo, constantes dos Anexos III e IV a esta Portaria, observando as especificidades locais.</w:t>
      </w:r>
    </w:p>
    <w:p w:rsidR="00B12111" w:rsidRPr="00B12111" w:rsidRDefault="00B12111" w:rsidP="00B12111">
      <w:pPr>
        <w:pStyle w:val="NormalWeb"/>
        <w:spacing w:before="0" w:beforeAutospacing="0" w:after="0" w:afterAutospacing="0"/>
        <w:ind w:left="2268"/>
        <w:jc w:val="both"/>
        <w:rPr>
          <w:rFonts w:ascii="Arial" w:hAnsi="Arial" w:cs="Arial"/>
          <w:sz w:val="20"/>
          <w:szCs w:val="20"/>
        </w:rPr>
      </w:pPr>
      <w:r w:rsidRPr="00B12111">
        <w:rPr>
          <w:rFonts w:ascii="Arial" w:hAnsi="Arial" w:cs="Arial"/>
          <w:sz w:val="20"/>
          <w:szCs w:val="20"/>
        </w:rPr>
        <w:t>2 - Aprovação do convênio/contrato pela Comissão Intergestores Bipartite - (CIB).</w:t>
      </w:r>
    </w:p>
    <w:p w:rsidR="00B12111" w:rsidRPr="00B12111" w:rsidRDefault="00B12111" w:rsidP="00B12111">
      <w:pPr>
        <w:pStyle w:val="NormalWeb"/>
        <w:spacing w:before="0" w:beforeAutospacing="0" w:after="0" w:afterAutospacing="0"/>
        <w:ind w:left="2268"/>
        <w:jc w:val="both"/>
        <w:rPr>
          <w:rFonts w:ascii="Arial" w:hAnsi="Arial" w:cs="Arial"/>
          <w:sz w:val="20"/>
          <w:szCs w:val="20"/>
        </w:rPr>
      </w:pPr>
      <w:r w:rsidRPr="00B12111">
        <w:rPr>
          <w:rFonts w:ascii="Arial" w:hAnsi="Arial" w:cs="Arial"/>
          <w:sz w:val="20"/>
          <w:szCs w:val="20"/>
        </w:rPr>
        <w:t>3 - Formalização do  convênio/contrato pela secretaria de saúde responsável.</w:t>
      </w:r>
    </w:p>
    <w:p w:rsidR="00B12111" w:rsidRPr="00B12111" w:rsidRDefault="00B12111" w:rsidP="00B12111">
      <w:pPr>
        <w:pStyle w:val="NormalWeb"/>
        <w:spacing w:before="0" w:beforeAutospacing="0" w:after="0" w:afterAutospacing="0"/>
        <w:ind w:left="2268"/>
        <w:jc w:val="both"/>
        <w:rPr>
          <w:rFonts w:ascii="Arial" w:hAnsi="Arial" w:cs="Arial"/>
          <w:sz w:val="20"/>
          <w:szCs w:val="20"/>
        </w:rPr>
      </w:pPr>
      <w:r w:rsidRPr="00B12111">
        <w:rPr>
          <w:rFonts w:ascii="Arial" w:hAnsi="Arial" w:cs="Arial"/>
          <w:sz w:val="20"/>
          <w:szCs w:val="20"/>
        </w:rPr>
        <w:t>4 - Encaminhamento, à Coordenação-Geral de Atenção Hospitalar/Secretaria de Atenção à Saúde/Ministério da Saúde (Esplanada dos Ministérios, Bloco G, Edifício-Sede, sala 934, CEP 70.058-900, Brasília/DF) do ofício do gestor estadual/municipal, conforme modelo constante do Anexo V, formalizando a conclusão do processo de contratualização dos hospitais filantrópicos aderidos ao Programa de Reestruturação.</w:t>
      </w:r>
    </w:p>
    <w:p w:rsidR="00B12111" w:rsidRPr="00B12111" w:rsidRDefault="00B12111" w:rsidP="00B12111">
      <w:pPr>
        <w:pStyle w:val="NormalWeb"/>
        <w:spacing w:before="0" w:beforeAutospacing="0" w:after="0" w:afterAutospacing="0"/>
        <w:ind w:left="2268"/>
        <w:jc w:val="both"/>
        <w:rPr>
          <w:rFonts w:ascii="Arial" w:hAnsi="Arial" w:cs="Arial"/>
          <w:sz w:val="20"/>
          <w:szCs w:val="20"/>
        </w:rPr>
      </w:pPr>
      <w:r w:rsidRPr="00B12111">
        <w:rPr>
          <w:rFonts w:ascii="Arial" w:hAnsi="Arial" w:cs="Arial"/>
          <w:sz w:val="20"/>
          <w:szCs w:val="20"/>
        </w:rPr>
        <w:t>5 - Encaminhamento à Coordenação-Geral de Atenção Hospitalar de cópia do extrato do convênio/contrato publicado no Diário Oficial do Estado ou de Município e da Resolução da Comissão Intergestores Bipartite - CIB, aprovando o Plano Operativo.</w:t>
      </w:r>
    </w:p>
    <w:p w:rsidR="00B12111" w:rsidRPr="00B12111" w:rsidRDefault="00B12111" w:rsidP="00B12111">
      <w:pPr>
        <w:pStyle w:val="NormalWeb"/>
        <w:spacing w:before="0" w:beforeAutospacing="0" w:after="0" w:afterAutospacing="0"/>
        <w:ind w:left="2268"/>
        <w:jc w:val="both"/>
        <w:rPr>
          <w:rFonts w:ascii="Arial" w:hAnsi="Arial" w:cs="Arial"/>
          <w:sz w:val="20"/>
          <w:szCs w:val="20"/>
        </w:rPr>
      </w:pPr>
      <w:r w:rsidRPr="00B12111">
        <w:rPr>
          <w:rFonts w:ascii="Arial" w:hAnsi="Arial" w:cs="Arial"/>
          <w:sz w:val="20"/>
          <w:szCs w:val="20"/>
        </w:rPr>
        <w:t>6 - O Ministério da Saúde, após análise e aprovação da documentação encaminhada, publicará portaria incorporando aos limites financeiros dos estados e dos municípios o valor correspondente ao percentual residual de 60% devido a cada instituição hospitalar pelo cumprimento da etapa de contratualização.</w:t>
      </w:r>
    </w:p>
    <w:p w:rsidR="00B12111" w:rsidRPr="00B12111" w:rsidRDefault="00B12111" w:rsidP="00B12111">
      <w:pPr>
        <w:pStyle w:val="NormalWeb"/>
        <w:spacing w:before="0" w:beforeAutospacing="0" w:after="200" w:afterAutospacing="0"/>
        <w:ind w:left="2268"/>
        <w:jc w:val="both"/>
        <w:rPr>
          <w:rFonts w:ascii="Arial" w:hAnsi="Arial" w:cs="Arial"/>
          <w:sz w:val="20"/>
          <w:szCs w:val="20"/>
        </w:rPr>
      </w:pPr>
      <w:r w:rsidRPr="00B12111">
        <w:rPr>
          <w:rFonts w:ascii="Arial" w:hAnsi="Arial" w:cs="Arial"/>
          <w:sz w:val="20"/>
          <w:szCs w:val="20"/>
        </w:rPr>
        <w:t>7 - Os convênios/contratos e os planos operativos deverão estar disponíveis ao gestor nacional do Sistema Único de Saúde - SUS e aos órgãos de controle externo federal para avaliação quando for solicitado.</w:t>
      </w:r>
      <w:r>
        <w:rPr>
          <w:rFonts w:ascii="Arial" w:hAnsi="Arial" w:cs="Arial"/>
          <w:sz w:val="20"/>
          <w:szCs w:val="20"/>
        </w:rPr>
        <w:t>”</w:t>
      </w:r>
    </w:p>
    <w:p w:rsidR="00960EE5" w:rsidRDefault="00096B72"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Dos atos necessários à formalização da </w:t>
      </w:r>
      <w:r w:rsidR="001229A0">
        <w:rPr>
          <w:rFonts w:ascii="Arial" w:hAnsi="Arial" w:cs="Arial"/>
          <w:sz w:val="23"/>
          <w:szCs w:val="23"/>
        </w:rPr>
        <w:t>“</w:t>
      </w:r>
      <w:r>
        <w:rPr>
          <w:rFonts w:ascii="Arial" w:hAnsi="Arial" w:cs="Arial"/>
          <w:sz w:val="23"/>
          <w:szCs w:val="23"/>
        </w:rPr>
        <w:t>contratualização</w:t>
      </w:r>
      <w:r w:rsidR="001229A0">
        <w:rPr>
          <w:rFonts w:ascii="Arial" w:hAnsi="Arial" w:cs="Arial"/>
          <w:sz w:val="23"/>
          <w:szCs w:val="23"/>
        </w:rPr>
        <w:t>”</w:t>
      </w:r>
      <w:r w:rsidR="006670D5">
        <w:rPr>
          <w:rFonts w:ascii="Arial" w:hAnsi="Arial" w:cs="Arial"/>
          <w:sz w:val="23"/>
          <w:szCs w:val="23"/>
        </w:rPr>
        <w:t>,</w:t>
      </w:r>
      <w:r w:rsidR="001229A0">
        <w:rPr>
          <w:rFonts w:ascii="Arial" w:hAnsi="Arial" w:cs="Arial"/>
          <w:sz w:val="23"/>
          <w:szCs w:val="23"/>
        </w:rPr>
        <w:t xml:space="preserve"> </w:t>
      </w:r>
      <w:r>
        <w:rPr>
          <w:rFonts w:ascii="Arial" w:hAnsi="Arial" w:cs="Arial"/>
          <w:sz w:val="23"/>
          <w:szCs w:val="23"/>
        </w:rPr>
        <w:t>não se verifica, pois, a aprovação por Co</w:t>
      </w:r>
      <w:r w:rsidR="00067F8E">
        <w:rPr>
          <w:rFonts w:ascii="Arial" w:hAnsi="Arial" w:cs="Arial"/>
          <w:sz w:val="23"/>
          <w:szCs w:val="23"/>
        </w:rPr>
        <w:t>nselho</w:t>
      </w:r>
      <w:r>
        <w:rPr>
          <w:rFonts w:ascii="Arial" w:hAnsi="Arial" w:cs="Arial"/>
          <w:sz w:val="23"/>
          <w:szCs w:val="23"/>
        </w:rPr>
        <w:t xml:space="preserve"> Municipal de Saúde, do que se infere que sua ausência não implica irregularidade do convênio celebrado.</w:t>
      </w:r>
    </w:p>
    <w:p w:rsidR="00C06544" w:rsidRDefault="00C06544"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Outrossim, o mesmo ato normativo condiciona a transferência de recursos aos hospitais filantrópicos ao cumprimento de metas previstas no Plano Operativo</w:t>
      </w:r>
      <w:r w:rsidR="007E13DA">
        <w:rPr>
          <w:rFonts w:ascii="Arial" w:hAnsi="Arial" w:cs="Arial"/>
          <w:sz w:val="23"/>
          <w:szCs w:val="23"/>
        </w:rPr>
        <w:t>, atestado por uma comissão de acompanhamento específica, conforme estabelecido no Anexo III, Cláusula Sexta, §3º.</w:t>
      </w:r>
    </w:p>
    <w:p w:rsidR="00F10206" w:rsidRDefault="009F0F7C"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No caso relatado nos autos, </w:t>
      </w:r>
      <w:r w:rsidR="00FD61BF">
        <w:rPr>
          <w:rFonts w:ascii="Arial" w:hAnsi="Arial" w:cs="Arial"/>
          <w:sz w:val="23"/>
          <w:szCs w:val="23"/>
        </w:rPr>
        <w:t xml:space="preserve">tal comissão foi prevista nos itens 9.1 e 9.2 do instrumento de convênio (fl. 1245, vol. 6), sendo composta por </w:t>
      </w:r>
      <w:r w:rsidR="006670D5">
        <w:rPr>
          <w:rFonts w:ascii="Arial" w:hAnsi="Arial" w:cs="Arial"/>
          <w:sz w:val="23"/>
          <w:szCs w:val="23"/>
        </w:rPr>
        <w:t>oito</w:t>
      </w:r>
      <w:r w:rsidR="00FD61BF">
        <w:rPr>
          <w:rFonts w:ascii="Arial" w:hAnsi="Arial" w:cs="Arial"/>
          <w:sz w:val="23"/>
          <w:szCs w:val="23"/>
        </w:rPr>
        <w:t xml:space="preserve"> membros, divididos igualmente entre representantes da Secretaria Municipal de Saúde, da Gerência Regional de Saúde, do Conselho Municipal de Saúde e da UFTM/Hospital das Clínicas.</w:t>
      </w:r>
    </w:p>
    <w:p w:rsidR="00F33250" w:rsidRDefault="00F33250"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Constam da documentação, ainda, as atas das reuniões da comissão de acompanhamento, em que foram discutidas as questões pertinentes ao Plano Operativo</w:t>
      </w:r>
      <w:r w:rsidR="002B44DF">
        <w:rPr>
          <w:rFonts w:ascii="Arial" w:hAnsi="Arial" w:cs="Arial"/>
          <w:sz w:val="23"/>
          <w:szCs w:val="23"/>
        </w:rPr>
        <w:t>, inclusive o cumprimento das metas estabelecidas</w:t>
      </w:r>
      <w:r>
        <w:rPr>
          <w:rFonts w:ascii="Arial" w:hAnsi="Arial" w:cs="Arial"/>
          <w:sz w:val="23"/>
          <w:szCs w:val="23"/>
        </w:rPr>
        <w:t xml:space="preserve"> (fls. 1272/1283, vol. 6). N</w:t>
      </w:r>
      <w:r w:rsidR="002B44DF">
        <w:rPr>
          <w:rFonts w:ascii="Arial" w:hAnsi="Arial" w:cs="Arial"/>
          <w:sz w:val="23"/>
          <w:szCs w:val="23"/>
        </w:rPr>
        <w:t xml:space="preserve">as </w:t>
      </w:r>
      <w:r w:rsidR="002B44DF">
        <w:rPr>
          <w:rFonts w:ascii="Arial" w:hAnsi="Arial" w:cs="Arial"/>
          <w:sz w:val="23"/>
          <w:szCs w:val="23"/>
        </w:rPr>
        <w:lastRenderedPageBreak/>
        <w:t>atas</w:t>
      </w:r>
      <w:r>
        <w:rPr>
          <w:rFonts w:ascii="Arial" w:hAnsi="Arial" w:cs="Arial"/>
          <w:sz w:val="23"/>
          <w:szCs w:val="23"/>
        </w:rPr>
        <w:t>, foi registrada a ausência dos membros oriundos da Comissã</w:t>
      </w:r>
      <w:r w:rsidR="00785B07">
        <w:rPr>
          <w:rFonts w:ascii="Arial" w:hAnsi="Arial" w:cs="Arial"/>
          <w:sz w:val="23"/>
          <w:szCs w:val="23"/>
        </w:rPr>
        <w:t>o Municipal de Saúde, salientando que “abstiveram-se de comparecer à reunião por decisão do CMS, comunicada verbalmente pelo Sr. Elizeu, pelo fato de o último Termo Aditivo referente ao Convênio em vigor até novembro/2010 não ter sido apreciado por aquela entidade”</w:t>
      </w:r>
      <w:r w:rsidR="00F7739C">
        <w:rPr>
          <w:rFonts w:ascii="Arial" w:hAnsi="Arial" w:cs="Arial"/>
          <w:sz w:val="23"/>
          <w:szCs w:val="23"/>
        </w:rPr>
        <w:t xml:space="preserve"> (fl. 1279)</w:t>
      </w:r>
      <w:r w:rsidR="00785B07">
        <w:rPr>
          <w:rFonts w:ascii="Arial" w:hAnsi="Arial" w:cs="Arial"/>
          <w:sz w:val="23"/>
          <w:szCs w:val="23"/>
        </w:rPr>
        <w:t>.</w:t>
      </w:r>
    </w:p>
    <w:p w:rsidR="00EF2A9E" w:rsidRDefault="00A52AA8" w:rsidP="00EF2A9E">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Nessas circunstâncias,</w:t>
      </w:r>
      <w:r w:rsidR="00BC3E2A">
        <w:rPr>
          <w:rFonts w:ascii="Arial" w:hAnsi="Arial" w:cs="Arial"/>
          <w:sz w:val="23"/>
          <w:szCs w:val="23"/>
        </w:rPr>
        <w:t xml:space="preserve"> vislumbra-se que a Comissão de Acompanhamento procedeu conforme determinado pela Portaria nº 3.123, de 2006</w:t>
      </w:r>
      <w:r w:rsidR="00EF2A9E">
        <w:rPr>
          <w:rFonts w:ascii="Arial" w:hAnsi="Arial" w:cs="Arial"/>
          <w:sz w:val="23"/>
          <w:szCs w:val="23"/>
        </w:rPr>
        <w:t>, emitindo o atestado necessário à transferência de recursos ao hospital conveniado, s</w:t>
      </w:r>
      <w:r w:rsidR="00067F8E">
        <w:rPr>
          <w:rFonts w:ascii="Arial" w:hAnsi="Arial" w:cs="Arial"/>
          <w:sz w:val="23"/>
          <w:szCs w:val="23"/>
        </w:rPr>
        <w:t xml:space="preserve">endo que a ausência de participação dos representantes do Conselho Municipal de Saúde </w:t>
      </w:r>
      <w:r w:rsidR="00EF2A9E">
        <w:rPr>
          <w:rFonts w:ascii="Arial" w:hAnsi="Arial" w:cs="Arial"/>
          <w:sz w:val="23"/>
          <w:szCs w:val="23"/>
        </w:rPr>
        <w:t>foi voluntária e, por isso, não afeta a juridicidade do documento produzido.</w:t>
      </w:r>
    </w:p>
    <w:p w:rsidR="00DB2B03" w:rsidRDefault="00EF2A9E" w:rsidP="00EF2A9E">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E</w:t>
      </w:r>
      <w:r w:rsidR="003F3FBF">
        <w:rPr>
          <w:rFonts w:ascii="Arial" w:hAnsi="Arial" w:cs="Arial"/>
          <w:sz w:val="23"/>
          <w:szCs w:val="23"/>
        </w:rPr>
        <w:t>ntendemos</w:t>
      </w:r>
      <w:r>
        <w:rPr>
          <w:rFonts w:ascii="Arial" w:hAnsi="Arial" w:cs="Arial"/>
          <w:sz w:val="23"/>
          <w:szCs w:val="23"/>
        </w:rPr>
        <w:t>, portanto,</w:t>
      </w:r>
      <w:r w:rsidR="003F3FBF">
        <w:rPr>
          <w:rFonts w:ascii="Arial" w:hAnsi="Arial" w:cs="Arial"/>
          <w:sz w:val="23"/>
          <w:szCs w:val="23"/>
        </w:rPr>
        <w:t xml:space="preserve"> </w:t>
      </w:r>
      <w:r w:rsidR="003F3FBF" w:rsidRPr="00D37AE8">
        <w:rPr>
          <w:rFonts w:ascii="Arial" w:hAnsi="Arial" w:cs="Arial"/>
          <w:sz w:val="23"/>
          <w:szCs w:val="23"/>
          <w:u w:val="single"/>
        </w:rPr>
        <w:t>não ser procedente a imputação da CEI</w:t>
      </w:r>
      <w:r w:rsidR="003F3FBF">
        <w:rPr>
          <w:rFonts w:ascii="Arial" w:hAnsi="Arial" w:cs="Arial"/>
          <w:sz w:val="23"/>
          <w:szCs w:val="23"/>
        </w:rPr>
        <w:t>, no sentido de que “tais liberações só poderiam ocorrer após serem atestados os cumprimentos das referidas metas quantitativas e qualitativas estabelecidas no Plano Operativo, pela Comissão de Acompanhamento</w:t>
      </w:r>
      <w:r w:rsidR="007832A5">
        <w:rPr>
          <w:rFonts w:ascii="Arial" w:hAnsi="Arial" w:cs="Arial"/>
          <w:sz w:val="23"/>
          <w:szCs w:val="23"/>
        </w:rPr>
        <w:t xml:space="preserve"> de convênio/contrato, o que não houve”.</w:t>
      </w:r>
    </w:p>
    <w:p w:rsidR="006E55E9" w:rsidRPr="004B3945" w:rsidRDefault="004B3945" w:rsidP="006E55E9">
      <w:pPr>
        <w:tabs>
          <w:tab w:val="left" w:pos="1418"/>
        </w:tabs>
        <w:spacing w:after="200" w:line="360" w:lineRule="auto"/>
        <w:jc w:val="both"/>
        <w:rPr>
          <w:rFonts w:ascii="Arial" w:hAnsi="Arial" w:cs="Arial"/>
          <w:b/>
          <w:sz w:val="23"/>
          <w:szCs w:val="23"/>
        </w:rPr>
      </w:pPr>
      <w:r>
        <w:rPr>
          <w:rFonts w:ascii="Arial" w:hAnsi="Arial" w:cs="Arial"/>
          <w:b/>
          <w:sz w:val="23"/>
          <w:szCs w:val="23"/>
        </w:rPr>
        <w:t xml:space="preserve">Da </w:t>
      </w:r>
      <w:r w:rsidR="00C37096">
        <w:rPr>
          <w:rFonts w:ascii="Arial" w:hAnsi="Arial" w:cs="Arial"/>
          <w:b/>
          <w:sz w:val="23"/>
          <w:szCs w:val="23"/>
        </w:rPr>
        <w:t xml:space="preserve">execução </w:t>
      </w:r>
      <w:r>
        <w:rPr>
          <w:rFonts w:ascii="Arial" w:hAnsi="Arial" w:cs="Arial"/>
          <w:b/>
          <w:sz w:val="23"/>
          <w:szCs w:val="23"/>
        </w:rPr>
        <w:t xml:space="preserve">dos serviços de coleta e transporte de resíduos </w:t>
      </w:r>
    </w:p>
    <w:p w:rsidR="00067F8E" w:rsidRDefault="009E16F4" w:rsidP="00522B20">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A CEI, em seu relatório, questionou, ainda, o fato </w:t>
      </w:r>
      <w:r w:rsidR="0042772C">
        <w:rPr>
          <w:rFonts w:ascii="Arial" w:hAnsi="Arial" w:cs="Arial"/>
          <w:sz w:val="23"/>
          <w:szCs w:val="23"/>
        </w:rPr>
        <w:t>de os serviços de coleta e transporte de resíduos sólidos originários das atividades de saúde terem sid</w:t>
      </w:r>
      <w:r w:rsidR="00522B20">
        <w:rPr>
          <w:rFonts w:ascii="Arial" w:hAnsi="Arial" w:cs="Arial"/>
          <w:sz w:val="23"/>
          <w:szCs w:val="23"/>
        </w:rPr>
        <w:t>o prestados pela empresa Sterlix</w:t>
      </w:r>
      <w:r w:rsidR="0042772C">
        <w:rPr>
          <w:rFonts w:ascii="Arial" w:hAnsi="Arial" w:cs="Arial"/>
          <w:sz w:val="23"/>
          <w:szCs w:val="23"/>
        </w:rPr>
        <w:t xml:space="preserve"> Ambiental Tratamento de Resíduos Ltda., embora</w:t>
      </w:r>
      <w:r w:rsidR="00522B20">
        <w:rPr>
          <w:rFonts w:ascii="Arial" w:hAnsi="Arial" w:cs="Arial"/>
          <w:sz w:val="23"/>
          <w:szCs w:val="23"/>
        </w:rPr>
        <w:t>, no bojo da Concorrência Pública nº 015/2006, tais serviços tenham sido adjudicados à</w:t>
      </w:r>
      <w:r>
        <w:rPr>
          <w:rFonts w:ascii="Arial" w:hAnsi="Arial" w:cs="Arial"/>
          <w:sz w:val="23"/>
          <w:szCs w:val="23"/>
        </w:rPr>
        <w:t xml:space="preserve"> empresa Uberaba Ambiental S/A, </w:t>
      </w:r>
      <w:r w:rsidR="00522B20">
        <w:rPr>
          <w:rFonts w:ascii="Arial" w:hAnsi="Arial" w:cs="Arial"/>
          <w:sz w:val="23"/>
          <w:szCs w:val="23"/>
        </w:rPr>
        <w:t xml:space="preserve">não havendo </w:t>
      </w:r>
      <w:r w:rsidR="00AF1B03">
        <w:rPr>
          <w:rFonts w:ascii="Arial" w:hAnsi="Arial" w:cs="Arial"/>
          <w:sz w:val="23"/>
          <w:szCs w:val="23"/>
        </w:rPr>
        <w:t>prévia autorização da Prefeitura para a subcontratação.</w:t>
      </w:r>
    </w:p>
    <w:p w:rsidR="00BD3051" w:rsidRDefault="00BD3051"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A 4ª CFM, </w:t>
      </w:r>
      <w:r w:rsidR="001B6BA5">
        <w:rPr>
          <w:rFonts w:ascii="Arial" w:hAnsi="Arial" w:cs="Arial"/>
          <w:sz w:val="23"/>
          <w:szCs w:val="23"/>
        </w:rPr>
        <w:t xml:space="preserve">em exame da totalidade da contratação, desde a licitação até as fases de execução, apontou irregularidades </w:t>
      </w:r>
      <w:r w:rsidR="00447B31">
        <w:rPr>
          <w:rFonts w:ascii="Arial" w:hAnsi="Arial" w:cs="Arial"/>
          <w:sz w:val="23"/>
          <w:szCs w:val="23"/>
        </w:rPr>
        <w:t>n</w:t>
      </w:r>
      <w:r w:rsidR="001B6BA5">
        <w:rPr>
          <w:rFonts w:ascii="Arial" w:hAnsi="Arial" w:cs="Arial"/>
          <w:sz w:val="23"/>
          <w:szCs w:val="23"/>
        </w:rPr>
        <w:t xml:space="preserve">o edital da Concorrência Pública nº 015/2006, </w:t>
      </w:r>
      <w:r w:rsidR="00447B31">
        <w:rPr>
          <w:rFonts w:ascii="Arial" w:hAnsi="Arial" w:cs="Arial"/>
          <w:sz w:val="23"/>
          <w:szCs w:val="23"/>
        </w:rPr>
        <w:t>n</w:t>
      </w:r>
      <w:r w:rsidR="001B6BA5">
        <w:rPr>
          <w:rFonts w:ascii="Arial" w:hAnsi="Arial" w:cs="Arial"/>
          <w:sz w:val="23"/>
          <w:szCs w:val="23"/>
        </w:rPr>
        <w:t xml:space="preserve">os termos aditivos e </w:t>
      </w:r>
      <w:r w:rsidR="00447B31">
        <w:rPr>
          <w:rFonts w:ascii="Arial" w:hAnsi="Arial" w:cs="Arial"/>
          <w:sz w:val="23"/>
          <w:szCs w:val="23"/>
        </w:rPr>
        <w:t>n</w:t>
      </w:r>
      <w:r w:rsidR="001B6BA5">
        <w:rPr>
          <w:rFonts w:ascii="Arial" w:hAnsi="Arial" w:cs="Arial"/>
          <w:sz w:val="23"/>
          <w:szCs w:val="23"/>
        </w:rPr>
        <w:t>a subcontratação do</w:t>
      </w:r>
      <w:r w:rsidR="00EC486B">
        <w:rPr>
          <w:rFonts w:ascii="Arial" w:hAnsi="Arial" w:cs="Arial"/>
          <w:sz w:val="23"/>
          <w:szCs w:val="23"/>
        </w:rPr>
        <w:t>s</w:t>
      </w:r>
      <w:r w:rsidR="001B6BA5">
        <w:rPr>
          <w:rFonts w:ascii="Arial" w:hAnsi="Arial" w:cs="Arial"/>
          <w:sz w:val="23"/>
          <w:szCs w:val="23"/>
        </w:rPr>
        <w:t xml:space="preserve"> serviços</w:t>
      </w:r>
      <w:r w:rsidR="005C402F">
        <w:rPr>
          <w:rFonts w:ascii="Arial" w:hAnsi="Arial" w:cs="Arial"/>
          <w:sz w:val="23"/>
          <w:szCs w:val="23"/>
        </w:rPr>
        <w:t xml:space="preserve">, acerca dos quais se discorrerá </w:t>
      </w:r>
      <w:r w:rsidR="00B44E0E">
        <w:rPr>
          <w:rFonts w:ascii="Arial" w:hAnsi="Arial" w:cs="Arial"/>
          <w:sz w:val="23"/>
          <w:szCs w:val="23"/>
        </w:rPr>
        <w:t>em destacado</w:t>
      </w:r>
      <w:r w:rsidR="005C402F">
        <w:rPr>
          <w:rFonts w:ascii="Arial" w:hAnsi="Arial" w:cs="Arial"/>
          <w:sz w:val="23"/>
          <w:szCs w:val="23"/>
        </w:rPr>
        <w:t>:</w:t>
      </w:r>
    </w:p>
    <w:p w:rsidR="005C402F" w:rsidRPr="005C402F" w:rsidRDefault="005C402F" w:rsidP="005C402F">
      <w:pPr>
        <w:pStyle w:val="PargrafodaLista"/>
        <w:numPr>
          <w:ilvl w:val="0"/>
          <w:numId w:val="3"/>
        </w:numPr>
        <w:tabs>
          <w:tab w:val="left" w:pos="1418"/>
        </w:tabs>
        <w:spacing w:after="200" w:line="360" w:lineRule="auto"/>
        <w:jc w:val="both"/>
        <w:rPr>
          <w:rFonts w:ascii="Arial" w:hAnsi="Arial" w:cs="Arial"/>
          <w:sz w:val="23"/>
          <w:szCs w:val="23"/>
        </w:rPr>
      </w:pPr>
      <w:r>
        <w:rPr>
          <w:rFonts w:ascii="Arial" w:hAnsi="Arial" w:cs="Arial"/>
          <w:sz w:val="23"/>
          <w:szCs w:val="23"/>
          <w:u w:val="single"/>
        </w:rPr>
        <w:t>Dos apontamentos referentes ao edital da Concorrência Pública nº 015/2006</w:t>
      </w:r>
    </w:p>
    <w:p w:rsidR="001B6BA5" w:rsidRDefault="00B3350F"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Em relação ao edital da Concorrência Pública nº 015/2006, a Unidade Técnica entendeu serem irregulares a incompletude do orçamento estimado em </w:t>
      </w:r>
      <w:r>
        <w:rPr>
          <w:rFonts w:ascii="Arial" w:hAnsi="Arial" w:cs="Arial"/>
          <w:sz w:val="23"/>
          <w:szCs w:val="23"/>
        </w:rPr>
        <w:lastRenderedPageBreak/>
        <w:t>planilhas; a vedação à participação de empresas estrangeiras ou reunidas em consórcio; e a exigência de atestado de visita</w:t>
      </w:r>
      <w:r w:rsidR="00E23F5C">
        <w:rPr>
          <w:rFonts w:ascii="Arial" w:hAnsi="Arial" w:cs="Arial"/>
          <w:sz w:val="23"/>
          <w:szCs w:val="23"/>
        </w:rPr>
        <w:t>.</w:t>
      </w:r>
    </w:p>
    <w:p w:rsidR="00D24E89" w:rsidRDefault="00D24E89"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O referido instrumento convocatório</w:t>
      </w:r>
      <w:r w:rsidR="008D1FCA">
        <w:rPr>
          <w:rFonts w:ascii="Arial" w:hAnsi="Arial" w:cs="Arial"/>
          <w:sz w:val="23"/>
          <w:szCs w:val="23"/>
        </w:rPr>
        <w:t xml:space="preserve"> foi publicado em 29/07/2006, consoante se verifica às fls. 2329/2330 (vol. 10).</w:t>
      </w:r>
    </w:p>
    <w:p w:rsidR="00DA4CDF" w:rsidRPr="00DA4CDF" w:rsidRDefault="00DA4CDF" w:rsidP="00DA4CDF">
      <w:pPr>
        <w:numPr>
          <w:ilvl w:val="0"/>
          <w:numId w:val="1"/>
        </w:numPr>
        <w:tabs>
          <w:tab w:val="clear" w:pos="2808"/>
          <w:tab w:val="left" w:pos="1418"/>
        </w:tabs>
        <w:spacing w:after="200" w:line="360" w:lineRule="auto"/>
        <w:ind w:left="0" w:firstLine="0"/>
        <w:jc w:val="both"/>
        <w:rPr>
          <w:rFonts w:ascii="Arial" w:hAnsi="Arial" w:cs="Arial"/>
          <w:spacing w:val="-4"/>
          <w:sz w:val="23"/>
          <w:szCs w:val="23"/>
        </w:rPr>
      </w:pPr>
      <w:r>
        <w:rPr>
          <w:rFonts w:ascii="Arial" w:hAnsi="Arial" w:cs="Arial"/>
          <w:sz w:val="23"/>
          <w:szCs w:val="23"/>
        </w:rPr>
        <w:t xml:space="preserve">Considerando se tratar de imputação de irregularidades que não trazem consigo o indicativo de ocorrência de dano ao erário, </w:t>
      </w:r>
      <w:r w:rsidRPr="00DA4CDF">
        <w:rPr>
          <w:rFonts w:ascii="Arial" w:hAnsi="Arial" w:cs="Arial"/>
          <w:sz w:val="23"/>
          <w:szCs w:val="23"/>
        </w:rPr>
        <w:t>há que se perquirir da ocorrência do instituto da prescrição.</w:t>
      </w:r>
    </w:p>
    <w:p w:rsidR="00DA4CDF" w:rsidRPr="00DA4CDF" w:rsidRDefault="00DA4CDF" w:rsidP="00DA4CDF">
      <w:pPr>
        <w:pStyle w:val="PargrafodaLista"/>
        <w:numPr>
          <w:ilvl w:val="0"/>
          <w:numId w:val="1"/>
        </w:numPr>
        <w:tabs>
          <w:tab w:val="clear" w:pos="2808"/>
          <w:tab w:val="left" w:pos="1418"/>
        </w:tabs>
        <w:spacing w:after="200" w:line="360" w:lineRule="auto"/>
        <w:ind w:left="0" w:firstLine="0"/>
        <w:contextualSpacing w:val="0"/>
        <w:jc w:val="both"/>
        <w:rPr>
          <w:rFonts w:ascii="Arial" w:hAnsi="Arial" w:cs="Arial"/>
          <w:spacing w:val="-4"/>
          <w:sz w:val="23"/>
          <w:szCs w:val="23"/>
        </w:rPr>
      </w:pPr>
      <w:r w:rsidRPr="00DA4CDF">
        <w:rPr>
          <w:rFonts w:ascii="Arial" w:hAnsi="Arial" w:cs="Arial"/>
          <w:sz w:val="23"/>
          <w:szCs w:val="23"/>
        </w:rPr>
        <w:t>Assim, de acordo com a Lei Complementar estadual nº 102, de 2008, “</w:t>
      </w:r>
      <w:r>
        <w:rPr>
          <w:rFonts w:ascii="Arial" w:hAnsi="Arial" w:cs="Arial"/>
          <w:sz w:val="23"/>
          <w:szCs w:val="23"/>
        </w:rPr>
        <w:t>p</w:t>
      </w:r>
      <w:r w:rsidRPr="00DA4CDF">
        <w:rPr>
          <w:rFonts w:ascii="Arial" w:hAnsi="Arial" w:cs="Arial"/>
          <w:sz w:val="23"/>
          <w:szCs w:val="23"/>
        </w:rPr>
        <w:t>rescreve em cinco anos a pretensão punitiva do Tribunal de Contas, considerando-se como termo inicial para contagem do prazo a data de ocorrência do fato” (art. 110-</w:t>
      </w:r>
      <w:r>
        <w:rPr>
          <w:rFonts w:ascii="Arial" w:hAnsi="Arial" w:cs="Arial"/>
          <w:sz w:val="23"/>
          <w:szCs w:val="23"/>
        </w:rPr>
        <w:t>E</w:t>
      </w:r>
      <w:r w:rsidRPr="00DA4CDF">
        <w:rPr>
          <w:rFonts w:ascii="Arial" w:hAnsi="Arial" w:cs="Arial"/>
          <w:sz w:val="23"/>
          <w:szCs w:val="23"/>
        </w:rPr>
        <w:t xml:space="preserve">). </w:t>
      </w:r>
    </w:p>
    <w:p w:rsidR="00DA4CDF" w:rsidRPr="00DA4CDF" w:rsidRDefault="00B46AA3" w:rsidP="00DA4CDF">
      <w:pPr>
        <w:pStyle w:val="PargrafodaLista"/>
        <w:numPr>
          <w:ilvl w:val="0"/>
          <w:numId w:val="1"/>
        </w:numPr>
        <w:tabs>
          <w:tab w:val="clear" w:pos="2808"/>
          <w:tab w:val="left" w:pos="1418"/>
        </w:tabs>
        <w:spacing w:after="200" w:line="360" w:lineRule="auto"/>
        <w:ind w:left="0" w:firstLine="0"/>
        <w:contextualSpacing w:val="0"/>
        <w:jc w:val="both"/>
        <w:rPr>
          <w:rFonts w:ascii="Arial" w:hAnsi="Arial" w:cs="Arial"/>
          <w:spacing w:val="-4"/>
          <w:sz w:val="23"/>
          <w:szCs w:val="23"/>
        </w:rPr>
      </w:pPr>
      <w:r>
        <w:rPr>
          <w:rFonts w:ascii="Arial" w:hAnsi="Arial" w:cs="Arial"/>
          <w:sz w:val="23"/>
          <w:szCs w:val="23"/>
        </w:rPr>
        <w:t>As causas interruptivas da prescrição, por sua vez, foram elencadas no art. 110-C do mesmo diploma, nos seguintes termos</w:t>
      </w:r>
      <w:r w:rsidR="00DA4CDF" w:rsidRPr="00DA4CDF">
        <w:rPr>
          <w:rFonts w:ascii="Arial" w:hAnsi="Arial" w:cs="Arial"/>
          <w:sz w:val="23"/>
          <w:szCs w:val="23"/>
        </w:rPr>
        <w:t xml:space="preserve">: </w:t>
      </w:r>
    </w:p>
    <w:p w:rsidR="00B46AA3" w:rsidRPr="00B46AA3" w:rsidRDefault="00B46AA3" w:rsidP="00B46AA3">
      <w:pPr>
        <w:pStyle w:val="western"/>
        <w:spacing w:before="0" w:beforeAutospacing="0" w:after="0" w:afterAutospacing="0"/>
        <w:ind w:left="2268"/>
        <w:jc w:val="both"/>
        <w:rPr>
          <w:rFonts w:ascii="Arial" w:hAnsi="Arial" w:cs="Arial"/>
        </w:rPr>
      </w:pPr>
      <w:r w:rsidRPr="00B46AA3">
        <w:rPr>
          <w:rFonts w:ascii="Arial" w:hAnsi="Arial" w:cs="Arial"/>
          <w:sz w:val="20"/>
          <w:szCs w:val="20"/>
        </w:rPr>
        <w:t>Art. 110-C. São causas interruptivas da prescrição:</w:t>
      </w:r>
    </w:p>
    <w:p w:rsidR="00B46AA3" w:rsidRPr="00B46AA3" w:rsidRDefault="00B46AA3" w:rsidP="00B46AA3">
      <w:pPr>
        <w:pStyle w:val="western"/>
        <w:spacing w:before="0" w:beforeAutospacing="0" w:after="0" w:afterAutospacing="0"/>
        <w:ind w:left="2268"/>
        <w:jc w:val="both"/>
        <w:rPr>
          <w:rFonts w:ascii="Arial" w:hAnsi="Arial" w:cs="Arial"/>
        </w:rPr>
      </w:pPr>
      <w:r w:rsidRPr="00B46AA3">
        <w:rPr>
          <w:rFonts w:ascii="Arial" w:hAnsi="Arial" w:cs="Arial"/>
          <w:sz w:val="20"/>
          <w:szCs w:val="20"/>
        </w:rPr>
        <w:t>I – despacho ou decisão que determinar a realização de inspeção cujo escopo abranja o ato passível de sanção a ser aplicada pelo Tribunal de Contas;</w:t>
      </w:r>
    </w:p>
    <w:p w:rsidR="00B46AA3" w:rsidRPr="00B46AA3" w:rsidRDefault="00B46AA3" w:rsidP="00B46AA3">
      <w:pPr>
        <w:pStyle w:val="western"/>
        <w:spacing w:before="0" w:beforeAutospacing="0" w:after="0" w:afterAutospacing="0"/>
        <w:ind w:left="2268"/>
        <w:jc w:val="both"/>
        <w:rPr>
          <w:rFonts w:ascii="Arial" w:hAnsi="Arial" w:cs="Arial"/>
        </w:rPr>
      </w:pPr>
      <w:r w:rsidRPr="00B46AA3">
        <w:rPr>
          <w:rFonts w:ascii="Arial" w:hAnsi="Arial" w:cs="Arial"/>
          <w:sz w:val="20"/>
          <w:szCs w:val="20"/>
        </w:rPr>
        <w:t>II – autuação de feito no Tribunal de Contas nos casos de prestação e tomada de contas;</w:t>
      </w:r>
    </w:p>
    <w:p w:rsidR="00B46AA3" w:rsidRPr="00B46AA3" w:rsidRDefault="00B46AA3" w:rsidP="00B46AA3">
      <w:pPr>
        <w:pStyle w:val="western"/>
        <w:spacing w:before="0" w:beforeAutospacing="0" w:after="0" w:afterAutospacing="0"/>
        <w:ind w:left="2268"/>
        <w:jc w:val="both"/>
        <w:rPr>
          <w:rFonts w:ascii="Arial" w:hAnsi="Arial" w:cs="Arial"/>
        </w:rPr>
      </w:pPr>
      <w:r w:rsidRPr="00B46AA3">
        <w:rPr>
          <w:rFonts w:ascii="Arial" w:hAnsi="Arial" w:cs="Arial"/>
          <w:sz w:val="20"/>
          <w:szCs w:val="20"/>
        </w:rPr>
        <w:t>III – autuação de feito no Tribunal de Contas em virtude de obrigação imposta por lei ou ato normativo;</w:t>
      </w:r>
    </w:p>
    <w:p w:rsidR="00B46AA3" w:rsidRPr="00B46AA3" w:rsidRDefault="00B46AA3" w:rsidP="00B46AA3">
      <w:pPr>
        <w:pStyle w:val="western"/>
        <w:spacing w:before="0" w:beforeAutospacing="0" w:after="0" w:afterAutospacing="0"/>
        <w:ind w:left="2268"/>
        <w:jc w:val="both"/>
        <w:rPr>
          <w:rFonts w:ascii="Arial" w:hAnsi="Arial" w:cs="Arial"/>
        </w:rPr>
      </w:pPr>
      <w:r w:rsidRPr="00B46AA3">
        <w:rPr>
          <w:rFonts w:ascii="Arial" w:hAnsi="Arial" w:cs="Arial"/>
          <w:sz w:val="20"/>
          <w:szCs w:val="20"/>
        </w:rPr>
        <w:t>IV – instauração de tomada de contas especial pelo Tribunal de Contas;</w:t>
      </w:r>
    </w:p>
    <w:p w:rsidR="00B46AA3" w:rsidRPr="00B46AA3" w:rsidRDefault="00B46AA3" w:rsidP="00B46AA3">
      <w:pPr>
        <w:pStyle w:val="western"/>
        <w:spacing w:before="0" w:beforeAutospacing="0" w:after="0" w:afterAutospacing="0"/>
        <w:ind w:left="2268"/>
        <w:jc w:val="both"/>
        <w:rPr>
          <w:rFonts w:ascii="Arial" w:hAnsi="Arial" w:cs="Arial"/>
        </w:rPr>
      </w:pPr>
      <w:r w:rsidRPr="00B46AA3">
        <w:rPr>
          <w:rFonts w:ascii="Arial" w:hAnsi="Arial" w:cs="Arial"/>
          <w:sz w:val="20"/>
          <w:szCs w:val="20"/>
        </w:rPr>
        <w:t>V – despacho que receber denúncia ou representação;</w:t>
      </w:r>
    </w:p>
    <w:p w:rsidR="00B46AA3" w:rsidRPr="00B46AA3" w:rsidRDefault="00B46AA3" w:rsidP="00B46AA3">
      <w:pPr>
        <w:pStyle w:val="western"/>
        <w:spacing w:before="0" w:beforeAutospacing="0" w:after="0" w:afterAutospacing="0"/>
        <w:ind w:left="2268"/>
        <w:jc w:val="both"/>
        <w:rPr>
          <w:rFonts w:ascii="Arial" w:hAnsi="Arial" w:cs="Arial"/>
        </w:rPr>
      </w:pPr>
      <w:r w:rsidRPr="00B46AA3">
        <w:rPr>
          <w:rFonts w:ascii="Arial" w:hAnsi="Arial" w:cs="Arial"/>
          <w:sz w:val="20"/>
          <w:szCs w:val="20"/>
        </w:rPr>
        <w:t>VI – citação válida;</w:t>
      </w:r>
    </w:p>
    <w:p w:rsidR="00B46AA3" w:rsidRPr="00B46AA3" w:rsidRDefault="00B46AA3" w:rsidP="00B46AA3">
      <w:pPr>
        <w:pStyle w:val="western"/>
        <w:spacing w:before="0" w:beforeAutospacing="0" w:after="200" w:afterAutospacing="0"/>
        <w:ind w:left="2268"/>
        <w:jc w:val="both"/>
        <w:rPr>
          <w:rFonts w:ascii="Arial" w:hAnsi="Arial" w:cs="Arial"/>
        </w:rPr>
      </w:pPr>
      <w:r w:rsidRPr="00B46AA3">
        <w:rPr>
          <w:rFonts w:ascii="Arial" w:hAnsi="Arial" w:cs="Arial"/>
          <w:sz w:val="20"/>
          <w:szCs w:val="20"/>
        </w:rPr>
        <w:t>VII – decisão de mérito recorrível.</w:t>
      </w:r>
    </w:p>
    <w:p w:rsidR="00DA4CDF" w:rsidRPr="00DA4CDF" w:rsidRDefault="00DA4CDF" w:rsidP="00DA4CDF">
      <w:pPr>
        <w:pStyle w:val="PargrafodaLista"/>
        <w:numPr>
          <w:ilvl w:val="0"/>
          <w:numId w:val="1"/>
        </w:numPr>
        <w:tabs>
          <w:tab w:val="clear" w:pos="2808"/>
          <w:tab w:val="left" w:pos="1418"/>
        </w:tabs>
        <w:spacing w:after="200" w:line="360" w:lineRule="auto"/>
        <w:ind w:left="0" w:firstLine="0"/>
        <w:contextualSpacing w:val="0"/>
        <w:jc w:val="both"/>
        <w:rPr>
          <w:rFonts w:ascii="Arial" w:hAnsi="Arial" w:cs="Arial"/>
          <w:sz w:val="23"/>
          <w:szCs w:val="23"/>
        </w:rPr>
      </w:pPr>
      <w:r w:rsidRPr="00DA4CDF">
        <w:rPr>
          <w:rFonts w:ascii="Arial" w:hAnsi="Arial" w:cs="Arial"/>
          <w:sz w:val="23"/>
          <w:szCs w:val="23"/>
        </w:rPr>
        <w:t xml:space="preserve">Na situação sob análise, </w:t>
      </w:r>
      <w:r w:rsidR="00F436FA">
        <w:rPr>
          <w:rFonts w:ascii="Arial" w:hAnsi="Arial" w:cs="Arial"/>
          <w:sz w:val="23"/>
          <w:szCs w:val="23"/>
        </w:rPr>
        <w:t xml:space="preserve">a data do fato corresponde à publicação do edital, em 29/07/2006, e </w:t>
      </w:r>
      <w:r w:rsidR="00B46AA3">
        <w:rPr>
          <w:rFonts w:ascii="Arial" w:hAnsi="Arial" w:cs="Arial"/>
          <w:sz w:val="23"/>
          <w:szCs w:val="23"/>
        </w:rPr>
        <w:t>a primeira causa interruptiva foi verificad</w:t>
      </w:r>
      <w:r w:rsidR="00ED559D">
        <w:rPr>
          <w:rFonts w:ascii="Arial" w:hAnsi="Arial" w:cs="Arial"/>
          <w:sz w:val="23"/>
          <w:szCs w:val="23"/>
        </w:rPr>
        <w:t xml:space="preserve">a quando exarado </w:t>
      </w:r>
      <w:r w:rsidR="00B46AA3">
        <w:rPr>
          <w:rFonts w:ascii="Arial" w:hAnsi="Arial" w:cs="Arial"/>
          <w:sz w:val="23"/>
          <w:szCs w:val="23"/>
        </w:rPr>
        <w:t>o despacho presidencial que recebeu a representação, na data de 11/09/2012, à fl. 2217 (vol. 10)</w:t>
      </w:r>
      <w:r w:rsidR="00F436FA">
        <w:rPr>
          <w:rFonts w:ascii="Arial" w:hAnsi="Arial" w:cs="Arial"/>
          <w:sz w:val="23"/>
          <w:szCs w:val="23"/>
        </w:rPr>
        <w:t>, tendo transcorrido mais de 5 anos entre os dois marcos.</w:t>
      </w:r>
    </w:p>
    <w:p w:rsidR="00ED559D" w:rsidRDefault="00ED559D" w:rsidP="00DA4CDF">
      <w:pPr>
        <w:pStyle w:val="PargrafodaLista"/>
        <w:numPr>
          <w:ilvl w:val="0"/>
          <w:numId w:val="1"/>
        </w:numPr>
        <w:tabs>
          <w:tab w:val="clear" w:pos="2808"/>
          <w:tab w:val="left" w:pos="1418"/>
        </w:tabs>
        <w:spacing w:after="200" w:line="360" w:lineRule="auto"/>
        <w:ind w:left="0" w:firstLine="0"/>
        <w:contextualSpacing w:val="0"/>
        <w:jc w:val="both"/>
        <w:rPr>
          <w:rFonts w:ascii="Arial" w:hAnsi="Arial" w:cs="Arial"/>
          <w:sz w:val="23"/>
          <w:szCs w:val="23"/>
        </w:rPr>
      </w:pPr>
      <w:r>
        <w:rPr>
          <w:rFonts w:ascii="Arial" w:hAnsi="Arial" w:cs="Arial"/>
          <w:sz w:val="23"/>
          <w:szCs w:val="23"/>
        </w:rPr>
        <w:t>Deste modo, há que se reconhecer que eventuais irregularidades constante</w:t>
      </w:r>
      <w:r w:rsidR="00F436FA">
        <w:rPr>
          <w:rFonts w:ascii="Arial" w:hAnsi="Arial" w:cs="Arial"/>
          <w:sz w:val="23"/>
          <w:szCs w:val="23"/>
        </w:rPr>
        <w:t>s do instrumento convocatório</w:t>
      </w:r>
      <w:r>
        <w:rPr>
          <w:rFonts w:ascii="Arial" w:hAnsi="Arial" w:cs="Arial"/>
          <w:sz w:val="23"/>
          <w:szCs w:val="23"/>
        </w:rPr>
        <w:t xml:space="preserve">, </w:t>
      </w:r>
      <w:r w:rsidR="00A17D56">
        <w:rPr>
          <w:rFonts w:ascii="Arial" w:hAnsi="Arial" w:cs="Arial"/>
          <w:sz w:val="23"/>
          <w:szCs w:val="23"/>
        </w:rPr>
        <w:t>das quais não resulte</w:t>
      </w:r>
      <w:r>
        <w:rPr>
          <w:rFonts w:ascii="Arial" w:hAnsi="Arial" w:cs="Arial"/>
          <w:sz w:val="23"/>
          <w:szCs w:val="23"/>
        </w:rPr>
        <w:t xml:space="preserve"> dano ao erário, foram alcançadas pela </w:t>
      </w:r>
      <w:r w:rsidRPr="00D37AE8">
        <w:rPr>
          <w:rFonts w:ascii="Arial" w:hAnsi="Arial" w:cs="Arial"/>
          <w:sz w:val="23"/>
          <w:szCs w:val="23"/>
          <w:u w:val="single"/>
        </w:rPr>
        <w:t>prescrição da pretensão punitiva</w:t>
      </w:r>
      <w:r>
        <w:rPr>
          <w:rFonts w:ascii="Arial" w:hAnsi="Arial" w:cs="Arial"/>
          <w:sz w:val="23"/>
          <w:szCs w:val="23"/>
        </w:rPr>
        <w:t xml:space="preserve"> deste Tribunal desde julho de 2011, com fundamento no art. 110-E</w:t>
      </w:r>
      <w:r w:rsidR="00A17D56">
        <w:rPr>
          <w:rFonts w:ascii="Arial" w:hAnsi="Arial" w:cs="Arial"/>
          <w:sz w:val="23"/>
          <w:szCs w:val="23"/>
        </w:rPr>
        <w:t xml:space="preserve"> c/c art. 110-C, V, ambos</w:t>
      </w:r>
      <w:r>
        <w:rPr>
          <w:rFonts w:ascii="Arial" w:hAnsi="Arial" w:cs="Arial"/>
          <w:sz w:val="23"/>
          <w:szCs w:val="23"/>
        </w:rPr>
        <w:t xml:space="preserve"> da Lei Orgânica, antes, portanto, do recebimento da representação.</w:t>
      </w:r>
    </w:p>
    <w:p w:rsidR="008D1FCA" w:rsidRPr="00D37AE8" w:rsidRDefault="00D37AE8" w:rsidP="00D37AE8">
      <w:pPr>
        <w:pStyle w:val="PargrafodaLista"/>
        <w:numPr>
          <w:ilvl w:val="0"/>
          <w:numId w:val="3"/>
        </w:numPr>
        <w:tabs>
          <w:tab w:val="left" w:pos="1418"/>
        </w:tabs>
        <w:spacing w:after="200" w:line="360" w:lineRule="auto"/>
        <w:jc w:val="both"/>
        <w:rPr>
          <w:rFonts w:ascii="Arial" w:hAnsi="Arial" w:cs="Arial"/>
          <w:sz w:val="23"/>
          <w:szCs w:val="23"/>
        </w:rPr>
      </w:pPr>
      <w:r>
        <w:rPr>
          <w:rFonts w:ascii="Arial" w:hAnsi="Arial" w:cs="Arial"/>
          <w:sz w:val="23"/>
          <w:szCs w:val="23"/>
          <w:u w:val="single"/>
        </w:rPr>
        <w:lastRenderedPageBreak/>
        <w:t>Dos apontamentos referentes aos Termos Aditivos ao Contrato nº 205/2006</w:t>
      </w:r>
    </w:p>
    <w:p w:rsidR="00D1475B" w:rsidRDefault="005D605F" w:rsidP="00D1475B">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No que concerne aos seis termos aditivos ao contrato para a coleta e transporte de resíduos, a 4ª CFM questionou a ausência de justificativa para a sua celebração e a inobservância do limite de aditamento.</w:t>
      </w:r>
    </w:p>
    <w:p w:rsidR="00D1475B" w:rsidRPr="00D1475B" w:rsidRDefault="00D1475B" w:rsidP="00D1475B">
      <w:pPr>
        <w:pStyle w:val="PargrafodaLista"/>
        <w:numPr>
          <w:ilvl w:val="0"/>
          <w:numId w:val="4"/>
        </w:numPr>
        <w:tabs>
          <w:tab w:val="left" w:pos="1418"/>
        </w:tabs>
        <w:spacing w:after="200" w:line="360" w:lineRule="auto"/>
        <w:jc w:val="both"/>
        <w:rPr>
          <w:rFonts w:ascii="Arial" w:hAnsi="Arial" w:cs="Arial"/>
          <w:i/>
          <w:sz w:val="23"/>
          <w:szCs w:val="23"/>
        </w:rPr>
      </w:pPr>
      <w:r w:rsidRPr="00D1475B">
        <w:rPr>
          <w:rFonts w:ascii="Arial" w:hAnsi="Arial" w:cs="Arial"/>
          <w:i/>
          <w:sz w:val="23"/>
          <w:szCs w:val="23"/>
        </w:rPr>
        <w:t>Da ausência de justificativa</w:t>
      </w:r>
    </w:p>
    <w:p w:rsidR="00DA4527" w:rsidRDefault="00D1475B"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Em que pese a assertiva constante do parecer</w:t>
      </w:r>
      <w:r w:rsidR="00C24DD9">
        <w:rPr>
          <w:rFonts w:ascii="Arial" w:hAnsi="Arial" w:cs="Arial"/>
          <w:sz w:val="23"/>
          <w:szCs w:val="23"/>
        </w:rPr>
        <w:t xml:space="preserve"> técnico, no sentido de que os T</w:t>
      </w:r>
      <w:r>
        <w:rPr>
          <w:rFonts w:ascii="Arial" w:hAnsi="Arial" w:cs="Arial"/>
          <w:sz w:val="23"/>
          <w:szCs w:val="23"/>
        </w:rPr>
        <w:t xml:space="preserve">ermos </w:t>
      </w:r>
      <w:r w:rsidR="00C24DD9">
        <w:rPr>
          <w:rFonts w:ascii="Arial" w:hAnsi="Arial" w:cs="Arial"/>
          <w:sz w:val="23"/>
          <w:szCs w:val="23"/>
        </w:rPr>
        <w:t>A</w:t>
      </w:r>
      <w:r>
        <w:rPr>
          <w:rFonts w:ascii="Arial" w:hAnsi="Arial" w:cs="Arial"/>
          <w:sz w:val="23"/>
          <w:szCs w:val="23"/>
        </w:rPr>
        <w:t xml:space="preserve">ditivos foram aprovados sem a apresentação de justificativa, é possível vislumbrar que, </w:t>
      </w:r>
      <w:r w:rsidR="00B36C1D">
        <w:rPr>
          <w:rFonts w:ascii="Arial" w:hAnsi="Arial" w:cs="Arial"/>
          <w:sz w:val="23"/>
          <w:szCs w:val="23"/>
        </w:rPr>
        <w:t>em relação</w:t>
      </w:r>
      <w:r w:rsidR="00DA4527">
        <w:rPr>
          <w:rFonts w:ascii="Arial" w:hAnsi="Arial" w:cs="Arial"/>
          <w:sz w:val="23"/>
          <w:szCs w:val="23"/>
        </w:rPr>
        <w:t xml:space="preserve"> ao </w:t>
      </w:r>
      <w:r w:rsidR="00FA7F5E" w:rsidRPr="00FA7F5E">
        <w:rPr>
          <w:rFonts w:ascii="Arial" w:hAnsi="Arial" w:cs="Arial"/>
          <w:sz w:val="23"/>
          <w:szCs w:val="23"/>
        </w:rPr>
        <w:t>1º, 2º</w:t>
      </w:r>
      <w:r w:rsidR="00FA7F5E">
        <w:rPr>
          <w:rFonts w:ascii="Arial" w:hAnsi="Arial" w:cs="Arial"/>
          <w:sz w:val="23"/>
          <w:szCs w:val="23"/>
        </w:rPr>
        <w:t>,</w:t>
      </w:r>
      <w:r w:rsidR="00DA4527" w:rsidRPr="00FA7F5E">
        <w:rPr>
          <w:rFonts w:ascii="Arial" w:hAnsi="Arial" w:cs="Arial"/>
          <w:sz w:val="23"/>
          <w:szCs w:val="23"/>
        </w:rPr>
        <w:t xml:space="preserve"> 3º</w:t>
      </w:r>
      <w:r w:rsidR="00FA7F5E">
        <w:rPr>
          <w:rFonts w:ascii="Arial" w:hAnsi="Arial" w:cs="Arial"/>
          <w:sz w:val="23"/>
          <w:szCs w:val="23"/>
        </w:rPr>
        <w:t xml:space="preserve"> e 6º</w:t>
      </w:r>
      <w:r w:rsidR="00DA4527">
        <w:rPr>
          <w:rFonts w:ascii="Arial" w:hAnsi="Arial" w:cs="Arial"/>
          <w:sz w:val="23"/>
          <w:szCs w:val="23"/>
        </w:rPr>
        <w:t xml:space="preserve"> aditamento</w:t>
      </w:r>
      <w:r w:rsidR="00FA7F5E">
        <w:rPr>
          <w:rFonts w:ascii="Arial" w:hAnsi="Arial" w:cs="Arial"/>
          <w:sz w:val="23"/>
          <w:szCs w:val="23"/>
        </w:rPr>
        <w:t>s</w:t>
      </w:r>
      <w:r w:rsidR="00DA4527">
        <w:rPr>
          <w:rFonts w:ascii="Arial" w:hAnsi="Arial" w:cs="Arial"/>
          <w:sz w:val="23"/>
          <w:szCs w:val="23"/>
        </w:rPr>
        <w:t>, as peças que reivindicaram a revisão dos preços</w:t>
      </w:r>
      <w:r w:rsidR="00CC7788">
        <w:rPr>
          <w:rFonts w:ascii="Arial" w:hAnsi="Arial" w:cs="Arial"/>
          <w:sz w:val="23"/>
          <w:szCs w:val="23"/>
        </w:rPr>
        <w:t xml:space="preserve"> indicaram seu cabimento em face da previsão da Cláusula VII do Contrato nº 205/2006</w:t>
      </w:r>
      <w:r w:rsidR="00B36C1D">
        <w:rPr>
          <w:rFonts w:ascii="Arial" w:hAnsi="Arial" w:cs="Arial"/>
          <w:sz w:val="23"/>
          <w:szCs w:val="23"/>
        </w:rPr>
        <w:t xml:space="preserve"> (fl. 4066, vol. 16)</w:t>
      </w:r>
      <w:r w:rsidR="00CC7788">
        <w:rPr>
          <w:rFonts w:ascii="Arial" w:hAnsi="Arial" w:cs="Arial"/>
          <w:sz w:val="23"/>
          <w:szCs w:val="23"/>
        </w:rPr>
        <w:t>, que permite o reajuste a cada período de 12 meses e estabelece a fórmula para fazê-lo.</w:t>
      </w:r>
    </w:p>
    <w:p w:rsidR="00B36C1D" w:rsidRDefault="00F46F97"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Tais </w:t>
      </w:r>
      <w:r w:rsidR="00C24DD9">
        <w:rPr>
          <w:rFonts w:ascii="Arial" w:hAnsi="Arial" w:cs="Arial"/>
          <w:sz w:val="23"/>
          <w:szCs w:val="23"/>
        </w:rPr>
        <w:t>T</w:t>
      </w:r>
      <w:r>
        <w:rPr>
          <w:rFonts w:ascii="Arial" w:hAnsi="Arial" w:cs="Arial"/>
          <w:sz w:val="23"/>
          <w:szCs w:val="23"/>
        </w:rPr>
        <w:t xml:space="preserve">ermos </w:t>
      </w:r>
      <w:r w:rsidR="00C24DD9">
        <w:rPr>
          <w:rFonts w:ascii="Arial" w:hAnsi="Arial" w:cs="Arial"/>
          <w:sz w:val="23"/>
          <w:szCs w:val="23"/>
        </w:rPr>
        <w:t>A</w:t>
      </w:r>
      <w:r>
        <w:rPr>
          <w:rFonts w:ascii="Arial" w:hAnsi="Arial" w:cs="Arial"/>
          <w:sz w:val="23"/>
          <w:szCs w:val="23"/>
        </w:rPr>
        <w:t>ditivos</w:t>
      </w:r>
      <w:r w:rsidR="00E316F1">
        <w:rPr>
          <w:rFonts w:ascii="Arial" w:hAnsi="Arial" w:cs="Arial"/>
          <w:sz w:val="23"/>
          <w:szCs w:val="23"/>
        </w:rPr>
        <w:t xml:space="preserve"> (TAs)</w:t>
      </w:r>
      <w:r>
        <w:rPr>
          <w:rFonts w:ascii="Arial" w:hAnsi="Arial" w:cs="Arial"/>
          <w:sz w:val="23"/>
          <w:szCs w:val="23"/>
        </w:rPr>
        <w:t xml:space="preserve"> foram efetuados para os seguintes períodos, considerando </w:t>
      </w:r>
      <w:r w:rsidR="000260F5">
        <w:rPr>
          <w:rFonts w:ascii="Arial" w:hAnsi="Arial" w:cs="Arial"/>
          <w:sz w:val="23"/>
          <w:szCs w:val="23"/>
        </w:rPr>
        <w:t>índices que refletem a variação de custos e de salários:</w:t>
      </w:r>
    </w:p>
    <w:p w:rsidR="00FD61BF" w:rsidRDefault="00DA4527" w:rsidP="00DA4527">
      <w:pPr>
        <w:tabs>
          <w:tab w:val="left" w:pos="1418"/>
        </w:tabs>
        <w:spacing w:after="200" w:line="360" w:lineRule="auto"/>
        <w:jc w:val="both"/>
        <w:rPr>
          <w:rFonts w:ascii="Arial" w:hAnsi="Arial" w:cs="Arial"/>
          <w:sz w:val="23"/>
          <w:szCs w:val="23"/>
        </w:rPr>
      </w:pPr>
      <w:r>
        <w:rPr>
          <w:rFonts w:ascii="Arial" w:hAnsi="Arial" w:cs="Arial"/>
          <w:sz w:val="23"/>
          <w:szCs w:val="23"/>
        </w:rPr>
        <w:tab/>
        <w:t xml:space="preserve">- 1º TA: revisão anual referente ao período de </w:t>
      </w:r>
      <w:r w:rsidR="00B36C1D">
        <w:rPr>
          <w:rFonts w:ascii="Arial" w:hAnsi="Arial" w:cs="Arial"/>
          <w:sz w:val="23"/>
          <w:szCs w:val="23"/>
        </w:rPr>
        <w:t>set-07/ago-08</w:t>
      </w:r>
      <w:r>
        <w:rPr>
          <w:rFonts w:ascii="Arial" w:hAnsi="Arial" w:cs="Arial"/>
          <w:sz w:val="23"/>
          <w:szCs w:val="23"/>
        </w:rPr>
        <w:t xml:space="preserve"> (fls. 4254/4255, vol. 16);</w:t>
      </w:r>
    </w:p>
    <w:p w:rsidR="00DA4527" w:rsidRDefault="00DA4527" w:rsidP="00DA4527">
      <w:pPr>
        <w:tabs>
          <w:tab w:val="left" w:pos="1418"/>
        </w:tabs>
        <w:spacing w:after="200" w:line="360" w:lineRule="auto"/>
        <w:jc w:val="both"/>
        <w:rPr>
          <w:rFonts w:ascii="Arial" w:hAnsi="Arial" w:cs="Arial"/>
          <w:sz w:val="23"/>
          <w:szCs w:val="23"/>
        </w:rPr>
      </w:pPr>
      <w:r>
        <w:rPr>
          <w:rFonts w:ascii="Arial" w:hAnsi="Arial" w:cs="Arial"/>
          <w:sz w:val="23"/>
          <w:szCs w:val="23"/>
        </w:rPr>
        <w:tab/>
        <w:t xml:space="preserve">- </w:t>
      </w:r>
      <w:r w:rsidR="00B36C1D">
        <w:rPr>
          <w:rFonts w:ascii="Arial" w:hAnsi="Arial" w:cs="Arial"/>
          <w:sz w:val="23"/>
          <w:szCs w:val="23"/>
        </w:rPr>
        <w:t>2º TA: revisão anual referente ao período de set-08/ago-09 (fls. 4728/4729, vol. 18);</w:t>
      </w:r>
    </w:p>
    <w:p w:rsidR="006027D2" w:rsidRDefault="006027D2" w:rsidP="00DA4527">
      <w:pPr>
        <w:tabs>
          <w:tab w:val="left" w:pos="1418"/>
        </w:tabs>
        <w:spacing w:after="200" w:line="360" w:lineRule="auto"/>
        <w:jc w:val="both"/>
        <w:rPr>
          <w:rFonts w:ascii="Arial" w:hAnsi="Arial" w:cs="Arial"/>
          <w:sz w:val="23"/>
          <w:szCs w:val="23"/>
        </w:rPr>
      </w:pPr>
      <w:r>
        <w:rPr>
          <w:rFonts w:ascii="Arial" w:hAnsi="Arial" w:cs="Arial"/>
          <w:sz w:val="23"/>
          <w:szCs w:val="23"/>
        </w:rPr>
        <w:tab/>
        <w:t xml:space="preserve">- 3º TA: </w:t>
      </w:r>
      <w:r w:rsidR="00F02AC8">
        <w:rPr>
          <w:rFonts w:ascii="Arial" w:hAnsi="Arial" w:cs="Arial"/>
          <w:sz w:val="23"/>
          <w:szCs w:val="23"/>
        </w:rPr>
        <w:t>revisão anual referente ao período de set-09/</w:t>
      </w:r>
      <w:r w:rsidR="00FA7F5E">
        <w:rPr>
          <w:rFonts w:ascii="Arial" w:hAnsi="Arial" w:cs="Arial"/>
          <w:sz w:val="23"/>
          <w:szCs w:val="23"/>
        </w:rPr>
        <w:t>ago</w:t>
      </w:r>
      <w:r w:rsidR="00F02AC8">
        <w:rPr>
          <w:rFonts w:ascii="Arial" w:hAnsi="Arial" w:cs="Arial"/>
          <w:sz w:val="23"/>
          <w:szCs w:val="23"/>
        </w:rPr>
        <w:t>-10 (fls. 4907/4908, vol. 19);</w:t>
      </w:r>
    </w:p>
    <w:p w:rsidR="00FA7F5E" w:rsidRPr="00960EE5" w:rsidRDefault="00FA7F5E" w:rsidP="00DA4527">
      <w:pPr>
        <w:tabs>
          <w:tab w:val="left" w:pos="1418"/>
        </w:tabs>
        <w:spacing w:after="200" w:line="360" w:lineRule="auto"/>
        <w:jc w:val="both"/>
        <w:rPr>
          <w:rFonts w:ascii="Arial" w:hAnsi="Arial" w:cs="Arial"/>
          <w:sz w:val="23"/>
          <w:szCs w:val="23"/>
        </w:rPr>
      </w:pPr>
      <w:r>
        <w:rPr>
          <w:rFonts w:ascii="Arial" w:hAnsi="Arial" w:cs="Arial"/>
          <w:sz w:val="23"/>
          <w:szCs w:val="23"/>
        </w:rPr>
        <w:tab/>
        <w:t>- 6º TA: revisão anual referente ao período de set-10/ago-11 (fls. 5069/5070</w:t>
      </w:r>
      <w:r w:rsidR="00287FFA">
        <w:rPr>
          <w:rFonts w:ascii="Arial" w:hAnsi="Arial" w:cs="Arial"/>
          <w:sz w:val="23"/>
          <w:szCs w:val="23"/>
        </w:rPr>
        <w:t>, vol. 19</w:t>
      </w:r>
      <w:r>
        <w:rPr>
          <w:rFonts w:ascii="Arial" w:hAnsi="Arial" w:cs="Arial"/>
          <w:sz w:val="23"/>
          <w:szCs w:val="23"/>
        </w:rPr>
        <w:t>).</w:t>
      </w:r>
    </w:p>
    <w:p w:rsidR="005E3DEE" w:rsidRDefault="005E3DEE"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Observa</w:t>
      </w:r>
      <w:r w:rsidR="00C24DD9">
        <w:rPr>
          <w:rFonts w:ascii="Arial" w:hAnsi="Arial" w:cs="Arial"/>
          <w:sz w:val="23"/>
          <w:szCs w:val="23"/>
        </w:rPr>
        <w:t>-se, pois, que tais T</w:t>
      </w:r>
      <w:r>
        <w:rPr>
          <w:rFonts w:ascii="Arial" w:hAnsi="Arial" w:cs="Arial"/>
          <w:sz w:val="23"/>
          <w:szCs w:val="23"/>
        </w:rPr>
        <w:t xml:space="preserve">ermos </w:t>
      </w:r>
      <w:r w:rsidR="00C24DD9">
        <w:rPr>
          <w:rFonts w:ascii="Arial" w:hAnsi="Arial" w:cs="Arial"/>
          <w:sz w:val="23"/>
          <w:szCs w:val="23"/>
        </w:rPr>
        <w:t>A</w:t>
      </w:r>
      <w:r>
        <w:rPr>
          <w:rFonts w:ascii="Arial" w:hAnsi="Arial" w:cs="Arial"/>
          <w:sz w:val="23"/>
          <w:szCs w:val="23"/>
        </w:rPr>
        <w:t xml:space="preserve">ditivos </w:t>
      </w:r>
      <w:r w:rsidR="00C449E9">
        <w:rPr>
          <w:rFonts w:ascii="Arial" w:hAnsi="Arial" w:cs="Arial"/>
          <w:sz w:val="23"/>
          <w:szCs w:val="23"/>
        </w:rPr>
        <w:t>foram celebrados a partir de solicitações motivadas pela previsão</w:t>
      </w:r>
      <w:r>
        <w:rPr>
          <w:rFonts w:ascii="Arial" w:hAnsi="Arial" w:cs="Arial"/>
          <w:sz w:val="23"/>
          <w:szCs w:val="23"/>
        </w:rPr>
        <w:t xml:space="preserve"> contratual, </w:t>
      </w:r>
      <w:r w:rsidR="00C449E9">
        <w:rPr>
          <w:rFonts w:ascii="Arial" w:hAnsi="Arial" w:cs="Arial"/>
          <w:sz w:val="23"/>
          <w:szCs w:val="23"/>
        </w:rPr>
        <w:t>devidamente amparada pelo art. 55, III, da Lei nº 8.666, de 1993</w:t>
      </w:r>
      <w:r w:rsidR="00D26C2D">
        <w:rPr>
          <w:rFonts w:ascii="Arial" w:hAnsi="Arial" w:cs="Arial"/>
          <w:sz w:val="23"/>
          <w:szCs w:val="23"/>
        </w:rPr>
        <w:t>, que estabelece como cláusula obrigatória dos contratos públicos a periodicidade do reajustamento de preços.</w:t>
      </w:r>
    </w:p>
    <w:p w:rsidR="00D26C2D" w:rsidRDefault="00E316F1"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Outrossim, o 5º TA, instrumentalizado às fls. 4961/4963 (vol. 19), foi solicitado pelo Procurador-Geral do Município às fls. 4959/4960</w:t>
      </w:r>
      <w:r w:rsidR="007B5E66">
        <w:rPr>
          <w:rFonts w:ascii="Arial" w:hAnsi="Arial" w:cs="Arial"/>
          <w:sz w:val="23"/>
          <w:szCs w:val="23"/>
        </w:rPr>
        <w:t xml:space="preserve"> (vol. 19)</w:t>
      </w:r>
      <w:r w:rsidR="00587DC3">
        <w:rPr>
          <w:rFonts w:ascii="Arial" w:hAnsi="Arial" w:cs="Arial"/>
          <w:sz w:val="23"/>
          <w:szCs w:val="23"/>
        </w:rPr>
        <w:t xml:space="preserve">, sob o </w:t>
      </w:r>
      <w:r w:rsidR="00587DC3">
        <w:rPr>
          <w:rFonts w:ascii="Arial" w:hAnsi="Arial" w:cs="Arial"/>
          <w:sz w:val="23"/>
          <w:szCs w:val="23"/>
        </w:rPr>
        <w:lastRenderedPageBreak/>
        <w:t>argumento do fim do prazo contratual</w:t>
      </w:r>
      <w:r w:rsidR="00D6361D">
        <w:rPr>
          <w:rFonts w:ascii="Arial" w:hAnsi="Arial" w:cs="Arial"/>
          <w:sz w:val="23"/>
          <w:szCs w:val="23"/>
        </w:rPr>
        <w:t>, sendo que a licitação em curso para dar continuidade à prestação dos serviços foi suspensa por esta Corte de Contas.</w:t>
      </w:r>
    </w:p>
    <w:p w:rsidR="000C0734" w:rsidRDefault="000C0734"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Assim, caracterizada a situação excepcional, a fim de não interromper a execução do serviço de necessidade pública, foi celebrado o </w:t>
      </w:r>
      <w:r w:rsidR="00C24DD9">
        <w:rPr>
          <w:rFonts w:ascii="Arial" w:hAnsi="Arial" w:cs="Arial"/>
          <w:sz w:val="23"/>
          <w:szCs w:val="23"/>
        </w:rPr>
        <w:t xml:space="preserve">aditamento </w:t>
      </w:r>
      <w:r>
        <w:rPr>
          <w:rFonts w:ascii="Arial" w:hAnsi="Arial" w:cs="Arial"/>
          <w:sz w:val="23"/>
          <w:szCs w:val="23"/>
        </w:rPr>
        <w:t>com fundamento no art. 57, §4º, da Lei nº</w:t>
      </w:r>
      <w:r w:rsidR="00227E11">
        <w:rPr>
          <w:rFonts w:ascii="Arial" w:hAnsi="Arial" w:cs="Arial"/>
          <w:sz w:val="23"/>
          <w:szCs w:val="23"/>
        </w:rPr>
        <w:t xml:space="preserve"> 8.666, de 1993</w:t>
      </w:r>
      <w:r w:rsidR="002B4ABD">
        <w:rPr>
          <w:rFonts w:ascii="Arial" w:hAnsi="Arial" w:cs="Arial"/>
          <w:sz w:val="23"/>
          <w:szCs w:val="23"/>
        </w:rPr>
        <w:t>, que estendeu o prazo de execução do contrato por mais 12 meses.</w:t>
      </w:r>
    </w:p>
    <w:p w:rsidR="00960EE5" w:rsidRDefault="007831B9"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Com efeito, n</w:t>
      </w:r>
      <w:r w:rsidR="005E3DEE">
        <w:rPr>
          <w:rFonts w:ascii="Arial" w:hAnsi="Arial" w:cs="Arial"/>
          <w:sz w:val="23"/>
          <w:szCs w:val="23"/>
        </w:rPr>
        <w:t xml:space="preserve">o entendimento deste Ministério Público, </w:t>
      </w:r>
      <w:r w:rsidR="00571607" w:rsidRPr="00571607">
        <w:rPr>
          <w:rFonts w:ascii="Arial" w:hAnsi="Arial" w:cs="Arial"/>
          <w:sz w:val="23"/>
          <w:szCs w:val="23"/>
          <w:u w:val="single"/>
        </w:rPr>
        <w:t>tais termos aditivos contaram com justificativa por escrito e acorde com a legislação vigente</w:t>
      </w:r>
      <w:r w:rsidR="00571607">
        <w:rPr>
          <w:rFonts w:ascii="Arial" w:hAnsi="Arial" w:cs="Arial"/>
          <w:sz w:val="23"/>
          <w:szCs w:val="23"/>
        </w:rPr>
        <w:t>, motivo pelo qual divergimos do exame técnico neste ponto.</w:t>
      </w:r>
    </w:p>
    <w:p w:rsidR="000B48C7" w:rsidRDefault="00064203"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sidRPr="000B48C7">
        <w:rPr>
          <w:rFonts w:ascii="Arial" w:hAnsi="Arial" w:cs="Arial"/>
          <w:b/>
          <w:sz w:val="23"/>
          <w:szCs w:val="23"/>
        </w:rPr>
        <w:t>O mesmo não se pode dizer do 4º Termo Aditivo</w:t>
      </w:r>
      <w:r w:rsidR="00607D1F" w:rsidRPr="000B48C7">
        <w:rPr>
          <w:rFonts w:ascii="Arial" w:hAnsi="Arial" w:cs="Arial"/>
          <w:b/>
          <w:sz w:val="23"/>
          <w:szCs w:val="23"/>
        </w:rPr>
        <w:t>.</w:t>
      </w:r>
      <w:r w:rsidR="00607D1F" w:rsidRPr="000B48C7">
        <w:rPr>
          <w:rFonts w:ascii="Arial" w:hAnsi="Arial" w:cs="Arial"/>
          <w:sz w:val="23"/>
          <w:szCs w:val="23"/>
        </w:rPr>
        <w:t xml:space="preserve"> </w:t>
      </w:r>
    </w:p>
    <w:p w:rsidR="00AF5624" w:rsidRPr="000B48C7" w:rsidRDefault="00FE6893"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sidRPr="000B48C7">
        <w:rPr>
          <w:rFonts w:ascii="Arial" w:hAnsi="Arial" w:cs="Arial"/>
          <w:sz w:val="23"/>
          <w:szCs w:val="23"/>
        </w:rPr>
        <w:t xml:space="preserve">Consoante declinado acima, </w:t>
      </w:r>
      <w:r w:rsidR="00E55BF7" w:rsidRPr="000B48C7">
        <w:rPr>
          <w:rFonts w:ascii="Arial" w:hAnsi="Arial" w:cs="Arial"/>
          <w:sz w:val="23"/>
          <w:szCs w:val="23"/>
        </w:rPr>
        <w:t xml:space="preserve">todo o período de vigência contratual foi coberto pelo reajuste anual, com o objetivo de resguardar a empresa contratada dos efeitos da inflação e </w:t>
      </w:r>
      <w:r w:rsidR="00FD5FFE" w:rsidRPr="000B48C7">
        <w:rPr>
          <w:rFonts w:ascii="Arial" w:hAnsi="Arial" w:cs="Arial"/>
          <w:sz w:val="23"/>
          <w:szCs w:val="23"/>
        </w:rPr>
        <w:t xml:space="preserve">dos aumentos de salário definidos em convenção coletiva. Ou seja, o equilíbrio econômico-financeiro </w:t>
      </w:r>
      <w:r w:rsidR="00DE4DFE" w:rsidRPr="000B48C7">
        <w:rPr>
          <w:rFonts w:ascii="Arial" w:hAnsi="Arial" w:cs="Arial"/>
          <w:sz w:val="23"/>
          <w:szCs w:val="23"/>
        </w:rPr>
        <w:t>já havia sido</w:t>
      </w:r>
      <w:r w:rsidR="00FD5FFE" w:rsidRPr="000B48C7">
        <w:rPr>
          <w:rFonts w:ascii="Arial" w:hAnsi="Arial" w:cs="Arial"/>
          <w:sz w:val="23"/>
          <w:szCs w:val="23"/>
        </w:rPr>
        <w:t xml:space="preserve"> preservado por meio do </w:t>
      </w:r>
      <w:r w:rsidR="00E31483" w:rsidRPr="000B48C7">
        <w:rPr>
          <w:rFonts w:ascii="Arial" w:hAnsi="Arial" w:cs="Arial"/>
          <w:sz w:val="23"/>
          <w:szCs w:val="23"/>
        </w:rPr>
        <w:t>1º, 2º, 3º e 6º Termos Aditivos</w:t>
      </w:r>
      <w:r w:rsidR="00DE4DFE" w:rsidRPr="000B48C7">
        <w:rPr>
          <w:rFonts w:ascii="Arial" w:hAnsi="Arial" w:cs="Arial"/>
          <w:sz w:val="23"/>
          <w:szCs w:val="23"/>
        </w:rPr>
        <w:t>.</w:t>
      </w:r>
    </w:p>
    <w:p w:rsidR="00E101EB" w:rsidRDefault="00533A34"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Aliás, </w:t>
      </w:r>
      <w:r w:rsidR="00294831">
        <w:rPr>
          <w:rFonts w:ascii="Arial" w:hAnsi="Arial" w:cs="Arial"/>
          <w:sz w:val="23"/>
          <w:szCs w:val="23"/>
        </w:rPr>
        <w:t xml:space="preserve">importante registrar que </w:t>
      </w:r>
      <w:r>
        <w:rPr>
          <w:rFonts w:ascii="Arial" w:hAnsi="Arial" w:cs="Arial"/>
          <w:sz w:val="23"/>
          <w:szCs w:val="23"/>
        </w:rPr>
        <w:t>a solicitação para o 4º TA é datada de 29/11/2010 (fls. 4912/4913, vol. 19), tendo sido celebrada com celeridade incomum, já no dia seguinte, 30/11/2010 (</w:t>
      </w:r>
      <w:r w:rsidR="00921FC5">
        <w:rPr>
          <w:rFonts w:ascii="Arial" w:hAnsi="Arial" w:cs="Arial"/>
          <w:sz w:val="23"/>
          <w:szCs w:val="23"/>
        </w:rPr>
        <w:t xml:space="preserve">4916/4918, vol. 19), </w:t>
      </w:r>
      <w:r w:rsidR="00294831">
        <w:rPr>
          <w:rFonts w:ascii="Arial" w:hAnsi="Arial" w:cs="Arial"/>
          <w:sz w:val="23"/>
          <w:szCs w:val="23"/>
        </w:rPr>
        <w:t xml:space="preserve">apenas </w:t>
      </w:r>
      <w:r w:rsidR="00921FC5">
        <w:rPr>
          <w:rFonts w:ascii="Arial" w:hAnsi="Arial" w:cs="Arial"/>
          <w:sz w:val="23"/>
          <w:szCs w:val="23"/>
        </w:rPr>
        <w:t>4 dias após a pactuação do 3º TA (fls. 4907/4908, vol. 19)</w:t>
      </w:r>
      <w:r w:rsidR="00B21AB0">
        <w:rPr>
          <w:rFonts w:ascii="Arial" w:hAnsi="Arial" w:cs="Arial"/>
          <w:sz w:val="23"/>
          <w:szCs w:val="23"/>
        </w:rPr>
        <w:t>, que havia reajustado os valores pagos pelos serviços</w:t>
      </w:r>
      <w:r w:rsidR="00232E99">
        <w:rPr>
          <w:rFonts w:ascii="Arial" w:hAnsi="Arial" w:cs="Arial"/>
          <w:sz w:val="23"/>
          <w:szCs w:val="23"/>
        </w:rPr>
        <w:t>.</w:t>
      </w:r>
    </w:p>
    <w:p w:rsidR="00BF5484" w:rsidRDefault="00E101EB"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Ademais, </w:t>
      </w:r>
      <w:r w:rsidR="008E0660">
        <w:rPr>
          <w:rFonts w:ascii="Arial" w:hAnsi="Arial" w:cs="Arial"/>
          <w:sz w:val="23"/>
          <w:szCs w:val="23"/>
        </w:rPr>
        <w:t xml:space="preserve">vislumbra-se </w:t>
      </w:r>
      <w:r w:rsidR="00CF0B33">
        <w:rPr>
          <w:rFonts w:ascii="Arial" w:hAnsi="Arial" w:cs="Arial"/>
          <w:sz w:val="23"/>
          <w:szCs w:val="23"/>
        </w:rPr>
        <w:t>da solicitação de aditamento, subscrita pelos então Superintendente de Serviços Urbanos e Estradas Municipais e Secretário de Infra-Estrutura (</w:t>
      </w:r>
      <w:r w:rsidR="00294831">
        <w:rPr>
          <w:rFonts w:ascii="Arial" w:hAnsi="Arial" w:cs="Arial"/>
          <w:sz w:val="23"/>
          <w:szCs w:val="23"/>
        </w:rPr>
        <w:t xml:space="preserve">fls. 4912/4913, vol. 19), que as razões invocadas </w:t>
      </w:r>
      <w:r w:rsidR="00B2793A">
        <w:rPr>
          <w:rFonts w:ascii="Arial" w:hAnsi="Arial" w:cs="Arial"/>
          <w:sz w:val="23"/>
          <w:szCs w:val="23"/>
        </w:rPr>
        <w:t xml:space="preserve">para o acréscimo da remuneração em R$ 14.526.042,28, correspondente a </w:t>
      </w:r>
      <w:r w:rsidR="00B2793A" w:rsidRPr="00CA2775">
        <w:rPr>
          <w:rFonts w:ascii="Arial" w:hAnsi="Arial" w:cs="Arial"/>
          <w:b/>
          <w:sz w:val="23"/>
          <w:szCs w:val="23"/>
        </w:rPr>
        <w:t>25%</w:t>
      </w:r>
      <w:r w:rsidR="00B2793A">
        <w:rPr>
          <w:rFonts w:ascii="Arial" w:hAnsi="Arial" w:cs="Arial"/>
          <w:sz w:val="23"/>
          <w:szCs w:val="23"/>
        </w:rPr>
        <w:t xml:space="preserve"> do total contratado, reajustado, </w:t>
      </w:r>
      <w:r w:rsidR="00294831">
        <w:rPr>
          <w:rFonts w:ascii="Arial" w:hAnsi="Arial" w:cs="Arial"/>
          <w:sz w:val="23"/>
          <w:szCs w:val="23"/>
        </w:rPr>
        <w:t xml:space="preserve">residem </w:t>
      </w:r>
      <w:r w:rsidR="00B2793A">
        <w:rPr>
          <w:rFonts w:ascii="Arial" w:hAnsi="Arial" w:cs="Arial"/>
          <w:sz w:val="23"/>
          <w:szCs w:val="23"/>
        </w:rPr>
        <w:t>no aumento do volume de lixo, decorrente do crescimento populacional e do período chuvoso</w:t>
      </w:r>
      <w:r w:rsidR="00921FC5">
        <w:rPr>
          <w:rFonts w:ascii="Arial" w:hAnsi="Arial" w:cs="Arial"/>
          <w:sz w:val="23"/>
          <w:szCs w:val="23"/>
        </w:rPr>
        <w:t>.</w:t>
      </w:r>
    </w:p>
    <w:p w:rsidR="00B2793A" w:rsidRDefault="00B2793A"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Neste ponto, cumpre avaliar duas questões.</w:t>
      </w:r>
    </w:p>
    <w:p w:rsidR="00B2793A" w:rsidRDefault="00B2793A"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A primeira</w:t>
      </w:r>
      <w:r w:rsidR="007300AD">
        <w:rPr>
          <w:rFonts w:ascii="Arial" w:hAnsi="Arial" w:cs="Arial"/>
          <w:sz w:val="23"/>
          <w:szCs w:val="23"/>
        </w:rPr>
        <w:t xml:space="preserve"> refere-se aos argumentos utilizados para </w:t>
      </w:r>
      <w:r w:rsidR="004361E4">
        <w:rPr>
          <w:rFonts w:ascii="Arial" w:hAnsi="Arial" w:cs="Arial"/>
          <w:sz w:val="23"/>
          <w:szCs w:val="23"/>
        </w:rPr>
        <w:t>justificar o suposto alargamento do volume de resíduos previsto</w:t>
      </w:r>
      <w:r w:rsidR="00560893">
        <w:rPr>
          <w:rFonts w:ascii="Arial" w:hAnsi="Arial" w:cs="Arial"/>
          <w:sz w:val="23"/>
          <w:szCs w:val="23"/>
        </w:rPr>
        <w:t xml:space="preserve">, uma vez que tanto o crescimento da </w:t>
      </w:r>
      <w:r w:rsidR="00560893">
        <w:rPr>
          <w:rFonts w:ascii="Arial" w:hAnsi="Arial" w:cs="Arial"/>
          <w:sz w:val="23"/>
          <w:szCs w:val="23"/>
        </w:rPr>
        <w:lastRenderedPageBreak/>
        <w:t>população, cujos índices são habitualmente estimados pelos institutos oficiais de estatística, quanto o período chuvoso entre os meses de outubro e abril são fatos notórios e amplamente disseminados na sociedade, o que lhes retira o caráter de “imprevisíveis</w:t>
      </w:r>
      <w:r w:rsidR="00421EE1">
        <w:rPr>
          <w:rFonts w:ascii="Arial" w:hAnsi="Arial" w:cs="Arial"/>
          <w:sz w:val="23"/>
          <w:szCs w:val="23"/>
        </w:rPr>
        <w:t>, ou previsíveis</w:t>
      </w:r>
      <w:r w:rsidR="00BE187B">
        <w:rPr>
          <w:rFonts w:ascii="Arial" w:hAnsi="Arial" w:cs="Arial"/>
          <w:sz w:val="23"/>
          <w:szCs w:val="23"/>
        </w:rPr>
        <w:t>,</w:t>
      </w:r>
      <w:r w:rsidR="00421EE1">
        <w:rPr>
          <w:rFonts w:ascii="Arial" w:hAnsi="Arial" w:cs="Arial"/>
          <w:sz w:val="23"/>
          <w:szCs w:val="23"/>
        </w:rPr>
        <w:t xml:space="preserve"> porém</w:t>
      </w:r>
      <w:r w:rsidR="00BE187B">
        <w:rPr>
          <w:rFonts w:ascii="Arial" w:hAnsi="Arial" w:cs="Arial"/>
          <w:sz w:val="23"/>
          <w:szCs w:val="23"/>
        </w:rPr>
        <w:t>,</w:t>
      </w:r>
      <w:r w:rsidR="00421EE1">
        <w:rPr>
          <w:rFonts w:ascii="Arial" w:hAnsi="Arial" w:cs="Arial"/>
          <w:sz w:val="23"/>
          <w:szCs w:val="23"/>
        </w:rPr>
        <w:t xml:space="preserve"> de consequências incalculáveis” e também descaracteriza a “força maior, caso fortuito ou fato do príncipe”, que permitiriam a alteração do contrato, com fundamento no art. 65, II, </w:t>
      </w:r>
      <w:r w:rsidR="00421EE1" w:rsidRPr="00421EE1">
        <w:rPr>
          <w:rFonts w:ascii="Arial" w:hAnsi="Arial" w:cs="Arial"/>
          <w:i/>
          <w:sz w:val="23"/>
          <w:szCs w:val="23"/>
        </w:rPr>
        <w:t>d</w:t>
      </w:r>
      <w:r w:rsidR="00421EE1">
        <w:rPr>
          <w:rFonts w:ascii="Arial" w:hAnsi="Arial" w:cs="Arial"/>
          <w:sz w:val="23"/>
          <w:szCs w:val="23"/>
        </w:rPr>
        <w:t>, da Lei nº 8.666, de 1993.</w:t>
      </w:r>
    </w:p>
    <w:p w:rsidR="004B3945" w:rsidRDefault="00E01F17"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A segunda, por sua vez, diz respeito à relação entre as razões declinadas (aumento do volume de resíduos) e a alteração empreendida por me</w:t>
      </w:r>
      <w:r w:rsidR="00F109A4">
        <w:rPr>
          <w:rFonts w:ascii="Arial" w:hAnsi="Arial" w:cs="Arial"/>
          <w:sz w:val="23"/>
          <w:szCs w:val="23"/>
        </w:rPr>
        <w:t>io do aditamento, que se limitou</w:t>
      </w:r>
      <w:r>
        <w:rPr>
          <w:rFonts w:ascii="Arial" w:hAnsi="Arial" w:cs="Arial"/>
          <w:sz w:val="23"/>
          <w:szCs w:val="23"/>
        </w:rPr>
        <w:t xml:space="preserve"> a acrescer o valor</w:t>
      </w:r>
      <w:r w:rsidR="00F109A4">
        <w:rPr>
          <w:rFonts w:ascii="Arial" w:hAnsi="Arial" w:cs="Arial"/>
          <w:sz w:val="23"/>
          <w:szCs w:val="23"/>
        </w:rPr>
        <w:t xml:space="preserve"> do contrato, mantendo em vigor todos os demais termos do contrato (Cláusula IV, 4.1, fl. 4917, vol. 19).</w:t>
      </w:r>
    </w:p>
    <w:p w:rsidR="00D924BC" w:rsidRDefault="00C94E43" w:rsidP="00D924BC">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Aqui, imperioso destacar que, de acordo com a Cláusula Terceira do Contrato nº 205/2006 (fls. 4062/4064, vol. 16), os preços foram ajustados para cada unidade de serviço prestado (ou seja, um valor para cada tonelada</w:t>
      </w:r>
      <w:r w:rsidR="00D924BC">
        <w:rPr>
          <w:rFonts w:ascii="Arial" w:hAnsi="Arial" w:cs="Arial"/>
          <w:sz w:val="23"/>
          <w:szCs w:val="23"/>
        </w:rPr>
        <w:t xml:space="preserve"> de resíduo coletado, para cada quilômetro de via varrida, para ca</w:t>
      </w:r>
      <w:r w:rsidR="005B3218">
        <w:rPr>
          <w:rFonts w:ascii="Arial" w:hAnsi="Arial" w:cs="Arial"/>
          <w:sz w:val="23"/>
          <w:szCs w:val="23"/>
        </w:rPr>
        <w:t>da metro quadrado capinado etc</w:t>
      </w:r>
      <w:r w:rsidR="00D517E9">
        <w:rPr>
          <w:rFonts w:ascii="Arial" w:hAnsi="Arial" w:cs="Arial"/>
          <w:sz w:val="23"/>
          <w:szCs w:val="23"/>
        </w:rPr>
        <w:t>.</w:t>
      </w:r>
      <w:r w:rsidR="005B3218">
        <w:rPr>
          <w:rFonts w:ascii="Arial" w:hAnsi="Arial" w:cs="Arial"/>
          <w:sz w:val="23"/>
          <w:szCs w:val="23"/>
        </w:rPr>
        <w:t>), sendo que o valor global do contrato foi alcançado por estimativa do quantitativo de serviço necessário para a execução do objeto (item 3.19 da Cláusula Terceira, fl. 4064, vol. 16).</w:t>
      </w:r>
    </w:p>
    <w:p w:rsidR="005B3218" w:rsidRDefault="00B94B3B" w:rsidP="00D924BC">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Confirma-se o fato</w:t>
      </w:r>
      <w:r w:rsidR="005B3218">
        <w:rPr>
          <w:rFonts w:ascii="Arial" w:hAnsi="Arial" w:cs="Arial"/>
          <w:sz w:val="23"/>
          <w:szCs w:val="23"/>
        </w:rPr>
        <w:t xml:space="preserve"> pelo texto do item 4.4 do referido Contrato, segundo o qual “os serviços executados serão pagos com base nos respectivos boletins de medição, observado o valor unitário da unidade de sérico constante na planilha de preços contratada”.</w:t>
      </w:r>
    </w:p>
    <w:p w:rsidR="005B3218" w:rsidRDefault="00B94B3B" w:rsidP="00D924BC">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Que</w:t>
      </w:r>
      <w:r w:rsidR="00BE187B">
        <w:rPr>
          <w:rFonts w:ascii="Arial" w:hAnsi="Arial" w:cs="Arial"/>
          <w:sz w:val="23"/>
          <w:szCs w:val="23"/>
        </w:rPr>
        <w:t>r</w:t>
      </w:r>
      <w:r>
        <w:rPr>
          <w:rFonts w:ascii="Arial" w:hAnsi="Arial" w:cs="Arial"/>
          <w:sz w:val="23"/>
          <w:szCs w:val="23"/>
        </w:rPr>
        <w:t xml:space="preserve"> se dizer com isso</w:t>
      </w:r>
      <w:r w:rsidR="00707E36">
        <w:rPr>
          <w:rFonts w:ascii="Arial" w:hAnsi="Arial" w:cs="Arial"/>
          <w:sz w:val="23"/>
          <w:szCs w:val="23"/>
        </w:rPr>
        <w:t xml:space="preserve"> que, ao promover o aditamento do Contrato em percentual do valor total estimado, como feito pelo 4º TA, está-se, em verdade, acrescendo, no mesmo percentual, o valor a ser pago por cada unidade de serviço</w:t>
      </w:r>
      <w:r w:rsidR="0090745F">
        <w:rPr>
          <w:rFonts w:ascii="Arial" w:hAnsi="Arial" w:cs="Arial"/>
          <w:sz w:val="23"/>
          <w:szCs w:val="23"/>
        </w:rPr>
        <w:t>, uma vez que o quantitativo estimado não foi alterado (porque, frise-se, foram mantidas todas as cláusulas contratuais) e o pagamento é feito por unidade.</w:t>
      </w:r>
      <w:r w:rsidR="00D8208B">
        <w:rPr>
          <w:rFonts w:ascii="Arial" w:hAnsi="Arial" w:cs="Arial"/>
          <w:sz w:val="23"/>
          <w:szCs w:val="23"/>
        </w:rPr>
        <w:t xml:space="preserve"> Trata-se, em outras palavras, de reajuste de preço e não de acréscimo de objeto.</w:t>
      </w:r>
    </w:p>
    <w:p w:rsidR="00E528FA" w:rsidRDefault="00072620" w:rsidP="00D924BC">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Inclusive, </w:t>
      </w:r>
      <w:r w:rsidR="00202610">
        <w:rPr>
          <w:rFonts w:ascii="Arial" w:hAnsi="Arial" w:cs="Arial"/>
          <w:sz w:val="23"/>
          <w:szCs w:val="23"/>
        </w:rPr>
        <w:t>caso</w:t>
      </w:r>
      <w:r w:rsidR="0010450D">
        <w:rPr>
          <w:rFonts w:ascii="Arial" w:hAnsi="Arial" w:cs="Arial"/>
          <w:sz w:val="23"/>
          <w:szCs w:val="23"/>
        </w:rPr>
        <w:t xml:space="preserve"> </w:t>
      </w:r>
      <w:r w:rsidR="00CA2775">
        <w:rPr>
          <w:rFonts w:ascii="Arial" w:hAnsi="Arial" w:cs="Arial"/>
          <w:sz w:val="23"/>
          <w:szCs w:val="23"/>
        </w:rPr>
        <w:t xml:space="preserve">se </w:t>
      </w:r>
      <w:r w:rsidR="0010450D">
        <w:rPr>
          <w:rFonts w:ascii="Arial" w:hAnsi="Arial" w:cs="Arial"/>
          <w:sz w:val="23"/>
          <w:szCs w:val="23"/>
        </w:rPr>
        <w:t>tratasse de acréscimo, o Termo Aditivo deveria indicar quais serviços seriam ampliados</w:t>
      </w:r>
      <w:r w:rsidR="00E00E28">
        <w:rPr>
          <w:rFonts w:ascii="Arial" w:hAnsi="Arial" w:cs="Arial"/>
          <w:sz w:val="23"/>
          <w:szCs w:val="23"/>
        </w:rPr>
        <w:t xml:space="preserve"> e em qual</w:t>
      </w:r>
      <w:r w:rsidR="00EB2626">
        <w:rPr>
          <w:rFonts w:ascii="Arial" w:hAnsi="Arial" w:cs="Arial"/>
          <w:sz w:val="23"/>
          <w:szCs w:val="23"/>
        </w:rPr>
        <w:t xml:space="preserve"> medida</w:t>
      </w:r>
      <w:r w:rsidR="00202610">
        <w:rPr>
          <w:rFonts w:ascii="Arial" w:hAnsi="Arial" w:cs="Arial"/>
          <w:sz w:val="23"/>
          <w:szCs w:val="23"/>
        </w:rPr>
        <w:t xml:space="preserve">. </w:t>
      </w:r>
    </w:p>
    <w:p w:rsidR="0090745F" w:rsidRDefault="00202610" w:rsidP="00D924BC">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lastRenderedPageBreak/>
        <w:t>Apesar disso</w:t>
      </w:r>
      <w:r w:rsidR="0010450D">
        <w:rPr>
          <w:rFonts w:ascii="Arial" w:hAnsi="Arial" w:cs="Arial"/>
          <w:sz w:val="23"/>
          <w:szCs w:val="23"/>
        </w:rPr>
        <w:t>, a justificativa somente faz referência ao aumento</w:t>
      </w:r>
      <w:r>
        <w:rPr>
          <w:rFonts w:ascii="Arial" w:hAnsi="Arial" w:cs="Arial"/>
          <w:sz w:val="23"/>
          <w:szCs w:val="23"/>
        </w:rPr>
        <w:t xml:space="preserve"> observado n</w:t>
      </w:r>
      <w:r w:rsidR="0010450D">
        <w:rPr>
          <w:rFonts w:ascii="Arial" w:hAnsi="Arial" w:cs="Arial"/>
          <w:sz w:val="23"/>
          <w:szCs w:val="23"/>
        </w:rPr>
        <w:t xml:space="preserve">o </w:t>
      </w:r>
      <w:r>
        <w:rPr>
          <w:rFonts w:ascii="Arial" w:hAnsi="Arial" w:cs="Arial"/>
          <w:sz w:val="23"/>
          <w:szCs w:val="23"/>
        </w:rPr>
        <w:t xml:space="preserve">volume de </w:t>
      </w:r>
      <w:r w:rsidR="0010450D">
        <w:rPr>
          <w:rFonts w:ascii="Arial" w:hAnsi="Arial" w:cs="Arial"/>
          <w:sz w:val="23"/>
          <w:szCs w:val="23"/>
        </w:rPr>
        <w:t>lixo residencial</w:t>
      </w:r>
      <w:r>
        <w:rPr>
          <w:rFonts w:ascii="Arial" w:hAnsi="Arial" w:cs="Arial"/>
          <w:sz w:val="23"/>
          <w:szCs w:val="23"/>
        </w:rPr>
        <w:t xml:space="preserve"> recolhido</w:t>
      </w:r>
      <w:r w:rsidR="0010450D">
        <w:rPr>
          <w:rFonts w:ascii="Arial" w:hAnsi="Arial" w:cs="Arial"/>
          <w:sz w:val="23"/>
          <w:szCs w:val="23"/>
        </w:rPr>
        <w:t xml:space="preserve">, embora o contrato abarque serviços de manutenção de aterro sanitário, coleta e transporte de resíduos de saúde, limpeza de área de feiras livres, capina, conservação de jardins, pintura de guias, raspagem de sarjetas, que em nada guardam </w:t>
      </w:r>
      <w:r w:rsidR="00EB2626">
        <w:rPr>
          <w:rFonts w:ascii="Arial" w:hAnsi="Arial" w:cs="Arial"/>
          <w:sz w:val="23"/>
          <w:szCs w:val="23"/>
        </w:rPr>
        <w:t xml:space="preserve">relação com os motivos expostos, </w:t>
      </w:r>
      <w:r>
        <w:rPr>
          <w:rFonts w:ascii="Arial" w:hAnsi="Arial" w:cs="Arial"/>
          <w:sz w:val="23"/>
          <w:szCs w:val="23"/>
        </w:rPr>
        <w:t>mas que também sofreram aumento de preço, d</w:t>
      </w:r>
      <w:r w:rsidR="00EB2626">
        <w:rPr>
          <w:rFonts w:ascii="Arial" w:hAnsi="Arial" w:cs="Arial"/>
          <w:sz w:val="23"/>
          <w:szCs w:val="23"/>
        </w:rPr>
        <w:t>a forma como empreendido o aditamento.</w:t>
      </w:r>
    </w:p>
    <w:p w:rsidR="00E528FA" w:rsidRDefault="00716A12" w:rsidP="00E528F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Sublinhe-se, por oportuno, que o aumento do lixo produzido</w:t>
      </w:r>
      <w:r w:rsidR="007E4CCE" w:rsidRPr="007E4CCE">
        <w:rPr>
          <w:rFonts w:ascii="Arial" w:hAnsi="Arial" w:cs="Arial"/>
          <w:sz w:val="23"/>
          <w:szCs w:val="23"/>
        </w:rPr>
        <w:t xml:space="preserve"> </w:t>
      </w:r>
      <w:r w:rsidR="00E528FA">
        <w:rPr>
          <w:rFonts w:ascii="Arial" w:hAnsi="Arial" w:cs="Arial"/>
          <w:sz w:val="23"/>
          <w:szCs w:val="23"/>
        </w:rPr>
        <w:t xml:space="preserve">em relação à quantidade estimada não afetou o equilíbrio financeiro do contrato, uma vez que o valor devido e pago à contratada variou para cima quando verificado acréscimo do volume de resíduos recolhidos nas medições realizadas. </w:t>
      </w:r>
    </w:p>
    <w:p w:rsidR="00716A12" w:rsidRDefault="00E528FA" w:rsidP="00E528F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Ou seja, conquanto já se observasse previamente aumento do volume, conforme afirmado na própria solicitação do Superintendente e do Secretário Municipal, n</w:t>
      </w:r>
      <w:r w:rsidR="007E4CCE">
        <w:rPr>
          <w:rFonts w:ascii="Arial" w:hAnsi="Arial" w:cs="Arial"/>
          <w:sz w:val="23"/>
          <w:szCs w:val="23"/>
        </w:rPr>
        <w:t xml:space="preserve">ão </w:t>
      </w:r>
      <w:r>
        <w:rPr>
          <w:rFonts w:ascii="Arial" w:hAnsi="Arial" w:cs="Arial"/>
          <w:sz w:val="23"/>
          <w:szCs w:val="23"/>
        </w:rPr>
        <w:t xml:space="preserve">havia sido </w:t>
      </w:r>
      <w:r w:rsidR="007E4CCE">
        <w:rPr>
          <w:rFonts w:ascii="Arial" w:hAnsi="Arial" w:cs="Arial"/>
          <w:sz w:val="23"/>
          <w:szCs w:val="23"/>
        </w:rPr>
        <w:t>necessário o aditamento do contrato</w:t>
      </w:r>
      <w:r>
        <w:rPr>
          <w:rFonts w:ascii="Arial" w:hAnsi="Arial" w:cs="Arial"/>
          <w:sz w:val="23"/>
          <w:szCs w:val="23"/>
        </w:rPr>
        <w:t>, porque o pagamento era realizado por unidade</w:t>
      </w:r>
      <w:r w:rsidR="007E4CCE">
        <w:rPr>
          <w:rFonts w:ascii="Arial" w:hAnsi="Arial" w:cs="Arial"/>
          <w:sz w:val="23"/>
          <w:szCs w:val="23"/>
        </w:rPr>
        <w:t>.</w:t>
      </w:r>
    </w:p>
    <w:p w:rsidR="00AA7DD1" w:rsidRDefault="00AA7DD1" w:rsidP="00E528F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Conclui-se, portanto, que o 4º TA não veiculou acréscimo no quantitativo contratual, e sim reajustou o preço pago pelos itens unitários, uma vez que apenas alterou o valor total estimado, sem modificar os quantitativos estimados e a cláusula contratual que determina o pagamento por valor unitário.</w:t>
      </w:r>
    </w:p>
    <w:p w:rsidR="00D367F9" w:rsidRDefault="00BF0864" w:rsidP="002C3187">
      <w:pPr>
        <w:numPr>
          <w:ilvl w:val="0"/>
          <w:numId w:val="1"/>
        </w:numPr>
        <w:tabs>
          <w:tab w:val="clear" w:pos="2808"/>
          <w:tab w:val="left" w:pos="1418"/>
        </w:tabs>
        <w:spacing w:after="200" w:line="360" w:lineRule="auto"/>
        <w:ind w:left="0" w:firstLine="0"/>
        <w:jc w:val="both"/>
        <w:rPr>
          <w:rFonts w:ascii="Arial" w:hAnsi="Arial" w:cs="Arial"/>
          <w:sz w:val="23"/>
          <w:szCs w:val="23"/>
        </w:rPr>
      </w:pPr>
      <w:r w:rsidRPr="002C3187">
        <w:rPr>
          <w:rFonts w:ascii="Arial" w:hAnsi="Arial" w:cs="Arial"/>
          <w:sz w:val="23"/>
          <w:szCs w:val="23"/>
        </w:rPr>
        <w:t xml:space="preserve">Há que se reconhecer, por fim, que, embora tal aditamento tenha se consubstanciado em reajuste, este não era devido, uma vez que </w:t>
      </w:r>
      <w:r w:rsidR="00D367F9" w:rsidRPr="002C3187">
        <w:rPr>
          <w:rFonts w:ascii="Arial" w:hAnsi="Arial" w:cs="Arial"/>
          <w:sz w:val="23"/>
          <w:szCs w:val="23"/>
        </w:rPr>
        <w:t xml:space="preserve">os preços já haviam sido repactuados exatos </w:t>
      </w:r>
      <w:r w:rsidR="00D367F9" w:rsidRPr="00CA2775">
        <w:rPr>
          <w:rFonts w:ascii="Arial" w:hAnsi="Arial" w:cs="Arial"/>
          <w:sz w:val="23"/>
          <w:szCs w:val="23"/>
          <w:u w:val="single"/>
        </w:rPr>
        <w:t>4 dias antes</w:t>
      </w:r>
      <w:r w:rsidR="00D367F9" w:rsidRPr="002C3187">
        <w:rPr>
          <w:rFonts w:ascii="Arial" w:hAnsi="Arial" w:cs="Arial"/>
          <w:sz w:val="23"/>
          <w:szCs w:val="23"/>
        </w:rPr>
        <w:t xml:space="preserve">, por meio do 3º Termo Aditivo (4907/4908, vol. 19), de acordo com </w:t>
      </w:r>
      <w:r w:rsidR="00845838" w:rsidRPr="002C3187">
        <w:rPr>
          <w:rFonts w:ascii="Arial" w:hAnsi="Arial" w:cs="Arial"/>
          <w:sz w:val="23"/>
          <w:szCs w:val="23"/>
        </w:rPr>
        <w:t>a equação constante do contrato e nos prazos permitidos pela legislação.</w:t>
      </w:r>
    </w:p>
    <w:p w:rsidR="002F5F56" w:rsidRPr="002F5F56" w:rsidRDefault="009128A1" w:rsidP="002F5F56">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Considerando que o preço pago já estava devidamente reajustado, de acordo com os cálculos previstos no instrumento contratual, estava o gestor </w:t>
      </w:r>
      <w:r w:rsidR="00C71590">
        <w:rPr>
          <w:rFonts w:ascii="Arial" w:hAnsi="Arial" w:cs="Arial"/>
          <w:sz w:val="23"/>
          <w:szCs w:val="23"/>
        </w:rPr>
        <w:t xml:space="preserve">impedido de fazê-lo novamente antes de decorrido um ano, nos termos do art. 2º, </w:t>
      </w:r>
      <w:r w:rsidR="002F5F56">
        <w:rPr>
          <w:rFonts w:ascii="Arial" w:hAnsi="Arial" w:cs="Arial"/>
          <w:sz w:val="23"/>
          <w:szCs w:val="23"/>
        </w:rPr>
        <w:t>§1º</w:t>
      </w:r>
      <w:r w:rsidR="00C71590">
        <w:rPr>
          <w:rFonts w:ascii="Arial" w:hAnsi="Arial" w:cs="Arial"/>
          <w:sz w:val="23"/>
          <w:szCs w:val="23"/>
        </w:rPr>
        <w:t>, da Lei nº</w:t>
      </w:r>
      <w:r w:rsidR="00AA14AD">
        <w:rPr>
          <w:rFonts w:ascii="Arial" w:hAnsi="Arial" w:cs="Arial"/>
          <w:sz w:val="23"/>
          <w:szCs w:val="23"/>
        </w:rPr>
        <w:t xml:space="preserve"> 10.192, de 2001, </w:t>
      </w:r>
      <w:r w:rsidR="00AA14AD" w:rsidRPr="00AA14AD">
        <w:rPr>
          <w:rFonts w:ascii="Arial" w:hAnsi="Arial" w:cs="Arial"/>
          <w:i/>
          <w:sz w:val="23"/>
          <w:szCs w:val="23"/>
        </w:rPr>
        <w:t>in verbis</w:t>
      </w:r>
      <w:r w:rsidR="00AA14AD">
        <w:rPr>
          <w:rFonts w:ascii="Arial" w:hAnsi="Arial" w:cs="Arial"/>
          <w:sz w:val="23"/>
          <w:szCs w:val="23"/>
        </w:rPr>
        <w:t>:</w:t>
      </w:r>
    </w:p>
    <w:p w:rsidR="002F5F56" w:rsidRDefault="002F5F56" w:rsidP="002F5F56">
      <w:pPr>
        <w:pStyle w:val="NormalWeb"/>
        <w:spacing w:before="0" w:beforeAutospacing="0" w:after="0" w:afterAutospacing="0"/>
        <w:ind w:left="2268"/>
        <w:jc w:val="both"/>
      </w:pPr>
      <w:r>
        <w:rPr>
          <w:rFonts w:ascii="Arial" w:hAnsi="Arial" w:cs="Arial"/>
          <w:sz w:val="20"/>
          <w:szCs w:val="20"/>
        </w:rPr>
        <w:t>Art. 2</w:t>
      </w:r>
      <w:r>
        <w:rPr>
          <w:rFonts w:ascii="Arial" w:hAnsi="Arial" w:cs="Arial"/>
          <w:sz w:val="20"/>
          <w:szCs w:val="20"/>
          <w:u w:val="single"/>
          <w:vertAlign w:val="superscript"/>
        </w:rPr>
        <w:t>o</w:t>
      </w:r>
      <w:r>
        <w:rPr>
          <w:rFonts w:ascii="Arial" w:hAnsi="Arial" w:cs="Arial"/>
          <w:sz w:val="20"/>
          <w:szCs w:val="20"/>
        </w:rPr>
        <w:t xml:space="preserve"> É admitida estipulação de correção monetária ou de reajuste por índices de preços gerais, setoriais ou que reflitam a variação dos custos de </w:t>
      </w:r>
      <w:r>
        <w:rPr>
          <w:rFonts w:ascii="Arial" w:hAnsi="Arial" w:cs="Arial"/>
          <w:sz w:val="20"/>
          <w:szCs w:val="20"/>
        </w:rPr>
        <w:lastRenderedPageBreak/>
        <w:t>produção ou dos insumos utilizados nos contratos de prazo de duração igual ou superior a um ano.</w:t>
      </w:r>
    </w:p>
    <w:p w:rsidR="002F5F56" w:rsidRPr="002F5F56" w:rsidRDefault="002F5F56" w:rsidP="002F5F56">
      <w:pPr>
        <w:pStyle w:val="NormalWeb"/>
        <w:spacing w:before="0" w:beforeAutospacing="0"/>
        <w:ind w:left="2268"/>
        <w:jc w:val="both"/>
      </w:pPr>
      <w:bookmarkStart w:id="0" w:name="art2§1"/>
      <w:bookmarkEnd w:id="0"/>
      <w:r>
        <w:rPr>
          <w:rFonts w:ascii="Arial" w:hAnsi="Arial" w:cs="Arial"/>
          <w:sz w:val="20"/>
          <w:szCs w:val="20"/>
        </w:rPr>
        <w:t>§ 1</w:t>
      </w:r>
      <w:r>
        <w:rPr>
          <w:rFonts w:ascii="Arial" w:hAnsi="Arial" w:cs="Arial"/>
          <w:sz w:val="20"/>
          <w:szCs w:val="20"/>
          <w:u w:val="single"/>
          <w:vertAlign w:val="superscript"/>
        </w:rPr>
        <w:t>o</w:t>
      </w:r>
      <w:r>
        <w:rPr>
          <w:rFonts w:ascii="Arial" w:hAnsi="Arial" w:cs="Arial"/>
          <w:sz w:val="20"/>
          <w:szCs w:val="20"/>
        </w:rPr>
        <w:t xml:space="preserve"> </w:t>
      </w:r>
      <w:r w:rsidRPr="002F5F56">
        <w:rPr>
          <w:rFonts w:ascii="Arial" w:hAnsi="Arial" w:cs="Arial"/>
          <w:sz w:val="20"/>
          <w:szCs w:val="20"/>
          <w:u w:val="single"/>
        </w:rPr>
        <w:t>É nula de pleno direito qualquer estipulação de reajuste ou correção monetária de periodicidade inferior a um ano</w:t>
      </w:r>
      <w:r>
        <w:rPr>
          <w:rFonts w:ascii="Arial" w:hAnsi="Arial" w:cs="Arial"/>
          <w:sz w:val="20"/>
          <w:szCs w:val="20"/>
        </w:rPr>
        <w:t>.</w:t>
      </w:r>
    </w:p>
    <w:p w:rsidR="00A83BE5" w:rsidRPr="002C3187" w:rsidRDefault="00A83BE5" w:rsidP="002C3187">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Acerca da impossibi</w:t>
      </w:r>
      <w:r w:rsidR="00CC20F7">
        <w:rPr>
          <w:rFonts w:ascii="Arial" w:hAnsi="Arial" w:cs="Arial"/>
          <w:sz w:val="23"/>
          <w:szCs w:val="23"/>
        </w:rPr>
        <w:t>lidade de reajuste de preços em intervalos inferiores a um ano</w:t>
      </w:r>
      <w:r>
        <w:rPr>
          <w:rFonts w:ascii="Arial" w:hAnsi="Arial" w:cs="Arial"/>
          <w:sz w:val="23"/>
          <w:szCs w:val="23"/>
        </w:rPr>
        <w:t xml:space="preserve">, </w:t>
      </w:r>
      <w:r w:rsidR="00CC20F7">
        <w:rPr>
          <w:rFonts w:ascii="Arial" w:hAnsi="Arial" w:cs="Arial"/>
          <w:sz w:val="23"/>
          <w:szCs w:val="23"/>
        </w:rPr>
        <w:t xml:space="preserve">é pacífica </w:t>
      </w:r>
      <w:r>
        <w:rPr>
          <w:rFonts w:ascii="Arial" w:hAnsi="Arial" w:cs="Arial"/>
          <w:sz w:val="23"/>
          <w:szCs w:val="23"/>
        </w:rPr>
        <w:t xml:space="preserve">a jurisprudência </w:t>
      </w:r>
      <w:r w:rsidR="00CC20F7">
        <w:rPr>
          <w:rFonts w:ascii="Arial" w:hAnsi="Arial" w:cs="Arial"/>
          <w:sz w:val="23"/>
          <w:szCs w:val="23"/>
        </w:rPr>
        <w:t>do Tribunal de Contas da União:</w:t>
      </w:r>
    </w:p>
    <w:p w:rsidR="002C3187" w:rsidRDefault="002C3187" w:rsidP="002C3187">
      <w:pPr>
        <w:tabs>
          <w:tab w:val="left" w:pos="1418"/>
        </w:tabs>
        <w:ind w:left="2268"/>
        <w:jc w:val="both"/>
        <w:rPr>
          <w:rFonts w:ascii="Arial" w:hAnsi="Arial" w:cs="Arial"/>
          <w:sz w:val="20"/>
          <w:szCs w:val="20"/>
        </w:rPr>
      </w:pPr>
      <w:r>
        <w:rPr>
          <w:rFonts w:ascii="Arial" w:hAnsi="Arial" w:cs="Arial"/>
          <w:sz w:val="20"/>
          <w:szCs w:val="20"/>
        </w:rPr>
        <w:t>“[</w:t>
      </w:r>
      <w:r w:rsidRPr="002C3187">
        <w:rPr>
          <w:rFonts w:ascii="Arial" w:hAnsi="Arial" w:cs="Arial"/>
          <w:sz w:val="20"/>
          <w:szCs w:val="20"/>
          <w:u w:val="single"/>
        </w:rPr>
        <w:t>Na repactuação dos contratos de serviços de natureza continuada deverá ser observado o interregno mínimo de um ano</w:t>
      </w:r>
      <w:r w:rsidRPr="002C3187">
        <w:rPr>
          <w:rFonts w:ascii="Arial" w:hAnsi="Arial" w:cs="Arial"/>
          <w:sz w:val="20"/>
          <w:szCs w:val="20"/>
        </w:rPr>
        <w:t>, a contar da data da proposta ou da data do orçamento a que a proposta se referir. Nas repactuações subsequentes à primeira, o prazo mínimo de um ano conta-se a partir da data da última repactuação.]</w:t>
      </w:r>
    </w:p>
    <w:p w:rsidR="002C3187" w:rsidRDefault="002C3187" w:rsidP="002C3187">
      <w:pPr>
        <w:tabs>
          <w:tab w:val="left" w:pos="1418"/>
        </w:tabs>
        <w:ind w:left="2268"/>
        <w:jc w:val="both"/>
        <w:rPr>
          <w:rFonts w:ascii="Arial" w:hAnsi="Arial" w:cs="Arial"/>
          <w:sz w:val="20"/>
          <w:szCs w:val="20"/>
        </w:rPr>
      </w:pPr>
      <w:r w:rsidRPr="002C3187">
        <w:rPr>
          <w:rFonts w:ascii="Arial" w:hAnsi="Arial" w:cs="Arial"/>
          <w:sz w:val="20"/>
          <w:szCs w:val="20"/>
        </w:rPr>
        <w:t>[VOTO]</w:t>
      </w:r>
      <w:r w:rsidRPr="002C3187">
        <w:rPr>
          <w:rFonts w:ascii="Arial" w:hAnsi="Arial" w:cs="Arial"/>
          <w:sz w:val="20"/>
          <w:szCs w:val="20"/>
        </w:rPr>
        <w:br/>
        <w:t>23. Outro ponto que deve ser analisado refere-se à hipótese de um mesmo contrato abrigar diversas categorias submetidas a acordos, convenções ou dissídios coletivos firmados ou instaurados em datas diferentes. Nesse caso, pergunta-se: é admissível a realização de várias repactuações do contrato dentro do prazo de um ano a fim de incorporar cada um dos reajustes salariais concedidos?</w:t>
      </w:r>
    </w:p>
    <w:p w:rsidR="002C3187" w:rsidRDefault="002C3187" w:rsidP="002C3187">
      <w:pPr>
        <w:tabs>
          <w:tab w:val="left" w:pos="1418"/>
        </w:tabs>
        <w:ind w:left="2268"/>
        <w:jc w:val="both"/>
        <w:rPr>
          <w:rFonts w:ascii="Arial" w:hAnsi="Arial" w:cs="Arial"/>
          <w:sz w:val="20"/>
          <w:szCs w:val="20"/>
        </w:rPr>
      </w:pPr>
      <w:r w:rsidRPr="002C3187">
        <w:rPr>
          <w:rFonts w:ascii="Arial" w:hAnsi="Arial" w:cs="Arial"/>
          <w:sz w:val="20"/>
          <w:szCs w:val="20"/>
        </w:rPr>
        <w:t>24. A meu ver, a resposta é negativa. Explico-me.</w:t>
      </w:r>
    </w:p>
    <w:p w:rsidR="002C3187" w:rsidRDefault="002C3187" w:rsidP="002C3187">
      <w:pPr>
        <w:tabs>
          <w:tab w:val="left" w:pos="1418"/>
        </w:tabs>
        <w:ind w:left="2268"/>
        <w:jc w:val="both"/>
        <w:rPr>
          <w:rFonts w:ascii="Arial" w:hAnsi="Arial" w:cs="Arial"/>
          <w:sz w:val="20"/>
          <w:szCs w:val="20"/>
        </w:rPr>
      </w:pPr>
      <w:r w:rsidRPr="002C3187">
        <w:rPr>
          <w:rFonts w:ascii="Arial" w:hAnsi="Arial" w:cs="Arial"/>
          <w:sz w:val="20"/>
          <w:szCs w:val="20"/>
        </w:rPr>
        <w:t>(...)</w:t>
      </w:r>
      <w:r w:rsidRPr="002C3187">
        <w:rPr>
          <w:rFonts w:ascii="Arial" w:hAnsi="Arial" w:cs="Arial"/>
          <w:sz w:val="20"/>
          <w:szCs w:val="20"/>
        </w:rPr>
        <w:br/>
        <w:t>27. (...) Note-se que o art. 2°, § 1°, da Lei 10.192/2000 encerra uma proibição, ou seja, proíbe a realização de qualquer reajuste em prazo inferior a um ano. Se a disposição legal faz incidir explicitamente a vedação sobre qualquer reajuste, sem estabelecer exceção ou fazer distinção quanto ao fator que originou o reajustamento tomado para a contagem do prazo, então não há como ampliar o alcance da norma. Significa dizer que</w:t>
      </w:r>
      <w:r w:rsidRPr="002C3187">
        <w:rPr>
          <w:rFonts w:ascii="Arial" w:hAnsi="Arial" w:cs="Arial"/>
          <w:sz w:val="20"/>
          <w:szCs w:val="20"/>
          <w:u w:val="single"/>
        </w:rPr>
        <w:t>, realizado o primeiro reajuste do contrato referente a um determinado item de custo, o próximo reajustamento somente poderá se dar após decorrido um ano, independentemente do fato de ter-se verificado variação nos preços de outros itens antes de escoado esse prazo</w:t>
      </w:r>
      <w:r w:rsidRPr="002C3187">
        <w:rPr>
          <w:rFonts w:ascii="Arial" w:hAnsi="Arial" w:cs="Arial"/>
          <w:sz w:val="20"/>
          <w:szCs w:val="20"/>
        </w:rPr>
        <w:t>. Portanto, como não há fundamento para a realização de diversos reajustes dentro do interregno anual, não é possível submeter um mesmo contrato de prestação de serviços continuados a mais de uma repactuação durante esse intervalo de tempo.</w:t>
      </w:r>
    </w:p>
    <w:p w:rsidR="002C3187" w:rsidRDefault="002C3187" w:rsidP="002C3187">
      <w:pPr>
        <w:tabs>
          <w:tab w:val="left" w:pos="1418"/>
        </w:tabs>
        <w:ind w:left="2268"/>
        <w:jc w:val="both"/>
        <w:rPr>
          <w:rFonts w:ascii="Arial" w:hAnsi="Arial" w:cs="Arial"/>
          <w:sz w:val="20"/>
          <w:szCs w:val="20"/>
        </w:rPr>
      </w:pPr>
      <w:r w:rsidRPr="002C3187">
        <w:rPr>
          <w:rFonts w:ascii="Arial" w:hAnsi="Arial" w:cs="Arial"/>
          <w:sz w:val="20"/>
          <w:szCs w:val="20"/>
        </w:rPr>
        <w:t>(...)</w:t>
      </w:r>
      <w:r w:rsidRPr="002C3187">
        <w:rPr>
          <w:rFonts w:ascii="Arial" w:hAnsi="Arial" w:cs="Arial"/>
          <w:sz w:val="20"/>
          <w:szCs w:val="20"/>
        </w:rPr>
        <w:br/>
        <w:t>[ACORDÃO]</w:t>
      </w:r>
      <w:r w:rsidRPr="002C3187">
        <w:rPr>
          <w:rFonts w:ascii="Arial" w:hAnsi="Arial" w:cs="Arial"/>
          <w:sz w:val="20"/>
          <w:szCs w:val="20"/>
        </w:rPr>
        <w:br/>
        <w:t>9.1. expedir as seguintes orientações dirigidas à Segedam:</w:t>
      </w:r>
    </w:p>
    <w:p w:rsidR="002C3187" w:rsidRPr="002C3187" w:rsidRDefault="002C3187" w:rsidP="002C3187">
      <w:pPr>
        <w:tabs>
          <w:tab w:val="left" w:pos="1418"/>
        </w:tabs>
        <w:spacing w:after="200"/>
        <w:ind w:left="2268"/>
        <w:jc w:val="both"/>
        <w:rPr>
          <w:rFonts w:ascii="Arial" w:hAnsi="Arial" w:cs="Arial"/>
          <w:sz w:val="20"/>
          <w:szCs w:val="20"/>
        </w:rPr>
      </w:pPr>
      <w:r w:rsidRPr="002C3187">
        <w:rPr>
          <w:rFonts w:ascii="Arial" w:hAnsi="Arial" w:cs="Arial"/>
          <w:sz w:val="20"/>
          <w:szCs w:val="20"/>
        </w:rPr>
        <w:t>(...)</w:t>
      </w:r>
      <w:r w:rsidRPr="002C3187">
        <w:rPr>
          <w:rFonts w:ascii="Arial" w:hAnsi="Arial" w:cs="Arial"/>
          <w:sz w:val="20"/>
          <w:szCs w:val="20"/>
        </w:rPr>
        <w:br/>
        <w:t>9.1.5. os contratos de prestação de serviços de natureza contínua admitem uma única repactuação a ser realizada no interregno mínimo de um ano, conforme estabelecem o art. 2° da Lei 10.192/2000 e o art. 5° do Decreto 2.271/97;</w:t>
      </w:r>
      <w:r>
        <w:rPr>
          <w:rFonts w:ascii="Arial" w:hAnsi="Arial" w:cs="Arial"/>
          <w:sz w:val="20"/>
          <w:szCs w:val="20"/>
        </w:rPr>
        <w:t>”</w:t>
      </w:r>
      <w:r>
        <w:rPr>
          <w:rStyle w:val="Refdenotaderodap"/>
          <w:rFonts w:ascii="Arial" w:hAnsi="Arial" w:cs="Arial"/>
          <w:sz w:val="20"/>
          <w:szCs w:val="20"/>
        </w:rPr>
        <w:footnoteReference w:id="2"/>
      </w:r>
    </w:p>
    <w:p w:rsidR="00FA38D2" w:rsidRPr="00CA2775" w:rsidRDefault="00FA38D2" w:rsidP="00D924BC">
      <w:pPr>
        <w:numPr>
          <w:ilvl w:val="0"/>
          <w:numId w:val="1"/>
        </w:numPr>
        <w:tabs>
          <w:tab w:val="clear" w:pos="2808"/>
          <w:tab w:val="left" w:pos="1418"/>
        </w:tabs>
        <w:spacing w:after="200" w:line="360" w:lineRule="auto"/>
        <w:ind w:left="0" w:firstLine="0"/>
        <w:jc w:val="both"/>
        <w:rPr>
          <w:rFonts w:ascii="Arial" w:hAnsi="Arial" w:cs="Arial"/>
          <w:b/>
          <w:sz w:val="23"/>
          <w:szCs w:val="23"/>
        </w:rPr>
      </w:pPr>
      <w:r>
        <w:rPr>
          <w:rFonts w:ascii="Arial" w:hAnsi="Arial" w:cs="Arial"/>
          <w:sz w:val="23"/>
          <w:szCs w:val="23"/>
        </w:rPr>
        <w:t>Não</w:t>
      </w:r>
      <w:r w:rsidR="00206EF0">
        <w:rPr>
          <w:rFonts w:ascii="Arial" w:hAnsi="Arial" w:cs="Arial"/>
          <w:sz w:val="23"/>
          <w:szCs w:val="23"/>
        </w:rPr>
        <w:t xml:space="preserve"> obstante </w:t>
      </w:r>
      <w:r w:rsidR="00090857">
        <w:rPr>
          <w:rFonts w:ascii="Arial" w:hAnsi="Arial" w:cs="Arial"/>
          <w:sz w:val="23"/>
          <w:szCs w:val="23"/>
        </w:rPr>
        <w:t xml:space="preserve">o 1º, 2º, 3º e 6º TAs terem garantido o equilíbrio econômico-financeiro durante todo o período de vigência do contrato, </w:t>
      </w:r>
      <w:r w:rsidR="00090857" w:rsidRPr="00CA2775">
        <w:rPr>
          <w:rFonts w:ascii="Arial" w:hAnsi="Arial" w:cs="Arial"/>
          <w:b/>
          <w:sz w:val="23"/>
          <w:szCs w:val="23"/>
        </w:rPr>
        <w:t xml:space="preserve">foi celebrado o 4º TA, apenas 4 dias após a terceira repactuação, em prazo incompatível com o legal, </w:t>
      </w:r>
      <w:r w:rsidR="00090857" w:rsidRPr="00CA2775">
        <w:rPr>
          <w:rFonts w:ascii="Arial" w:hAnsi="Arial" w:cs="Arial"/>
          <w:b/>
          <w:sz w:val="23"/>
          <w:szCs w:val="23"/>
        </w:rPr>
        <w:lastRenderedPageBreak/>
        <w:t>sem justificativa fática, em desacordo com o cálculo estabelecido, sem parecer jurídico e sem publicação na imprensa oficial, em flagrante desrespeito às normas aplicáveis à situação, o que o torna nulo de pleno direito.</w:t>
      </w:r>
    </w:p>
    <w:p w:rsidR="00090857" w:rsidRDefault="00090857" w:rsidP="00D924BC">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Destarte, considerando que o preço já havia sido reajustado 4 dias antes, é inarredável a conclusão de que o 4º TA é ilegal e o preço nele fixado é indevido, uma vez que os serviços deveriam ter sido prestados com base no preço</w:t>
      </w:r>
      <w:r w:rsidR="008C68AA">
        <w:rPr>
          <w:rFonts w:ascii="Arial" w:hAnsi="Arial" w:cs="Arial"/>
          <w:sz w:val="23"/>
          <w:szCs w:val="23"/>
        </w:rPr>
        <w:t xml:space="preserve"> estabelecido por meio do 3º TA, sem o acréscimo de valor conferido ulteriormente.</w:t>
      </w:r>
    </w:p>
    <w:p w:rsidR="00B54EE0" w:rsidRPr="00BE187B" w:rsidRDefault="00090857" w:rsidP="00B54EE0">
      <w:pPr>
        <w:numPr>
          <w:ilvl w:val="0"/>
          <w:numId w:val="1"/>
        </w:numPr>
        <w:tabs>
          <w:tab w:val="clear" w:pos="2808"/>
          <w:tab w:val="left" w:pos="1418"/>
        </w:tabs>
        <w:spacing w:after="200" w:line="360" w:lineRule="auto"/>
        <w:ind w:left="0" w:firstLine="0"/>
        <w:jc w:val="both"/>
        <w:rPr>
          <w:rFonts w:ascii="Arial" w:hAnsi="Arial" w:cs="Arial"/>
          <w:b/>
          <w:sz w:val="23"/>
          <w:szCs w:val="23"/>
        </w:rPr>
      </w:pPr>
      <w:r w:rsidRPr="00BE187B">
        <w:rPr>
          <w:rFonts w:ascii="Arial" w:hAnsi="Arial" w:cs="Arial"/>
          <w:b/>
          <w:sz w:val="23"/>
          <w:szCs w:val="23"/>
        </w:rPr>
        <w:t>Configura-se, pois, flagrante hipótese de sobrepreço, correspondente ao valor acrescido indevidamente ao contrato, qual seja R$ 14.526.042,28</w:t>
      </w:r>
      <w:r w:rsidR="00051EBE" w:rsidRPr="00BE187B">
        <w:rPr>
          <w:rFonts w:ascii="Arial" w:hAnsi="Arial" w:cs="Arial"/>
          <w:b/>
          <w:sz w:val="23"/>
          <w:szCs w:val="23"/>
        </w:rPr>
        <w:t>,</w:t>
      </w:r>
      <w:r w:rsidR="00A54325" w:rsidRPr="00BE187B">
        <w:rPr>
          <w:rFonts w:ascii="Arial" w:hAnsi="Arial" w:cs="Arial"/>
          <w:b/>
          <w:sz w:val="23"/>
          <w:szCs w:val="23"/>
        </w:rPr>
        <w:t xml:space="preserve"> o qual deve ser ressarcido ao erário municipal</w:t>
      </w:r>
      <w:r w:rsidR="008C68AA" w:rsidRPr="00BE187B">
        <w:rPr>
          <w:rFonts w:ascii="Arial" w:hAnsi="Arial" w:cs="Arial"/>
          <w:b/>
          <w:sz w:val="23"/>
          <w:szCs w:val="23"/>
        </w:rPr>
        <w:t xml:space="preserve"> pelos agentes públicos que a ele deram causa em razão de deliberado descumprimento da lei e das cláusulas contratuais</w:t>
      </w:r>
      <w:r w:rsidR="00570B94" w:rsidRPr="00BE187B">
        <w:rPr>
          <w:rFonts w:ascii="Arial" w:hAnsi="Arial" w:cs="Arial"/>
          <w:b/>
          <w:sz w:val="23"/>
          <w:szCs w:val="23"/>
        </w:rPr>
        <w:t>.</w:t>
      </w:r>
    </w:p>
    <w:p w:rsidR="005F6DCE" w:rsidRPr="00B54EE0" w:rsidRDefault="005F6DCE" w:rsidP="00B54EE0">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Mais uma vez, é elucidativa a decisão do Tribunal de Contas da União, que também decidiu pelo ressarcimento do valor fixado em reajuste indevido, senão vejamos:</w:t>
      </w:r>
    </w:p>
    <w:p w:rsidR="00B54EE0" w:rsidRPr="00B54EE0" w:rsidRDefault="00B54EE0" w:rsidP="00B54EE0">
      <w:pPr>
        <w:ind w:left="2268"/>
        <w:jc w:val="both"/>
        <w:rPr>
          <w:rFonts w:ascii="Arial" w:hAnsi="Arial" w:cs="Arial"/>
          <w:sz w:val="20"/>
          <w:szCs w:val="20"/>
        </w:rPr>
      </w:pPr>
      <w:r>
        <w:rPr>
          <w:rFonts w:ascii="Arial" w:hAnsi="Arial" w:cs="Arial"/>
          <w:sz w:val="20"/>
          <w:szCs w:val="20"/>
        </w:rPr>
        <w:t xml:space="preserve">“[...] </w:t>
      </w:r>
      <w:r w:rsidRPr="00B54EE0">
        <w:rPr>
          <w:rFonts w:ascii="Arial" w:hAnsi="Arial" w:cs="Arial"/>
          <w:sz w:val="20"/>
          <w:szCs w:val="20"/>
        </w:rPr>
        <w:t xml:space="preserve">21. Outros dois atos que </w:t>
      </w:r>
      <w:r w:rsidRPr="00B54EE0">
        <w:rPr>
          <w:rFonts w:ascii="Arial" w:hAnsi="Arial" w:cs="Arial"/>
          <w:sz w:val="20"/>
          <w:szCs w:val="20"/>
          <w:u w:val="single"/>
        </w:rPr>
        <w:t>geraram prejuízos aos cofres públicos são alusivos a reajustes contratuais indevidos</w:t>
      </w:r>
      <w:r w:rsidRPr="00B54EE0">
        <w:rPr>
          <w:rFonts w:ascii="Arial" w:hAnsi="Arial" w:cs="Arial"/>
          <w:sz w:val="20"/>
          <w:szCs w:val="20"/>
        </w:rPr>
        <w:t>.</w:t>
      </w:r>
    </w:p>
    <w:p w:rsidR="00B54EE0" w:rsidRPr="00B54EE0" w:rsidRDefault="00B54EE0" w:rsidP="00B54EE0">
      <w:pPr>
        <w:ind w:left="2268"/>
        <w:jc w:val="both"/>
        <w:rPr>
          <w:rFonts w:ascii="Arial" w:hAnsi="Arial" w:cs="Arial"/>
          <w:sz w:val="20"/>
          <w:szCs w:val="20"/>
        </w:rPr>
      </w:pPr>
      <w:r w:rsidRPr="00B54EE0">
        <w:rPr>
          <w:rFonts w:ascii="Arial" w:hAnsi="Arial" w:cs="Arial"/>
          <w:sz w:val="20"/>
          <w:szCs w:val="20"/>
        </w:rPr>
        <w:t xml:space="preserve">22. No primeiro, em contrato para a exploração de serviço de venda de bilhetes de passagens, ocorreu reajuste de 25%, sem que se comprovassem os fatos que o fundamentariam. Como afirmou a Secex/AL, </w:t>
      </w:r>
      <w:r>
        <w:rPr>
          <w:rFonts w:ascii="Arial" w:hAnsi="Arial" w:cs="Arial"/>
          <w:sz w:val="20"/>
          <w:szCs w:val="20"/>
        </w:rPr>
        <w:t>‘</w:t>
      </w:r>
      <w:r w:rsidRPr="00B54EE0">
        <w:rPr>
          <w:rFonts w:ascii="Arial" w:hAnsi="Arial" w:cs="Arial"/>
          <w:i/>
          <w:sz w:val="20"/>
          <w:szCs w:val="20"/>
        </w:rPr>
        <w:t>não houve aumento do quadro de pessoal, o cálculo dos novos salários estavam incorretos e o fator ‘k’ da equação econômico-financeira não deveria ter sido majorado, uma vez que o aumento dos custos operacionais não teve como causa fatos imprevisíveis, fortuitos ou de força maior</w:t>
      </w:r>
      <w:r>
        <w:rPr>
          <w:rFonts w:ascii="Arial" w:hAnsi="Arial" w:cs="Arial"/>
          <w:sz w:val="20"/>
          <w:szCs w:val="20"/>
        </w:rPr>
        <w:t>’</w:t>
      </w:r>
      <w:r w:rsidRPr="00B54EE0">
        <w:rPr>
          <w:rFonts w:ascii="Arial" w:hAnsi="Arial" w:cs="Arial"/>
          <w:sz w:val="20"/>
          <w:szCs w:val="20"/>
        </w:rPr>
        <w:t xml:space="preserve">. </w:t>
      </w:r>
    </w:p>
    <w:p w:rsidR="00B54EE0" w:rsidRPr="00B54EE0" w:rsidRDefault="00B54EE0" w:rsidP="00B54EE0">
      <w:pPr>
        <w:ind w:left="2268"/>
        <w:jc w:val="both"/>
        <w:rPr>
          <w:rFonts w:ascii="Arial" w:hAnsi="Arial" w:cs="Arial"/>
          <w:sz w:val="20"/>
          <w:szCs w:val="20"/>
        </w:rPr>
      </w:pPr>
      <w:r>
        <w:rPr>
          <w:rFonts w:ascii="Arial" w:hAnsi="Arial" w:cs="Arial"/>
          <w:sz w:val="20"/>
          <w:szCs w:val="20"/>
        </w:rPr>
        <w:t>[...]</w:t>
      </w:r>
    </w:p>
    <w:p w:rsidR="00B54EE0" w:rsidRPr="00B54EE0" w:rsidRDefault="00B54EE0" w:rsidP="00B54EE0">
      <w:pPr>
        <w:ind w:left="2268"/>
        <w:jc w:val="both"/>
        <w:rPr>
          <w:rFonts w:ascii="Arial" w:hAnsi="Arial" w:cs="Arial"/>
          <w:sz w:val="20"/>
          <w:szCs w:val="20"/>
        </w:rPr>
      </w:pPr>
      <w:r w:rsidRPr="00B54EE0">
        <w:rPr>
          <w:rFonts w:ascii="Arial" w:hAnsi="Arial" w:cs="Arial"/>
          <w:sz w:val="20"/>
          <w:szCs w:val="20"/>
        </w:rPr>
        <w:t>24. O segundo caso foi observado na execução de avença para a prestação de serviços de limpeza em imóveis. Mediante termo aditivo, o valor mensal do ajuste foi acrescido em 23%, sem as justificativas exigidas na lei. A rigor, o aumento de um posto de serviço que teria motivado a alteração equivaleria a um ajuste de apenas 9,2%, o que caracteriza o dano ao erário. Assim como na ocorrência relativa ao aditivo do ajuste celebrado para a venda de bilhetes, os responsáveis não contestaram os cálculos da CGU.</w:t>
      </w:r>
    </w:p>
    <w:p w:rsidR="00B54EE0" w:rsidRDefault="00B54EE0" w:rsidP="00B54EE0">
      <w:pPr>
        <w:tabs>
          <w:tab w:val="left" w:pos="1418"/>
        </w:tabs>
        <w:ind w:left="2268"/>
        <w:jc w:val="both"/>
        <w:rPr>
          <w:rFonts w:ascii="Arial" w:hAnsi="Arial" w:cs="Arial"/>
          <w:sz w:val="20"/>
          <w:szCs w:val="20"/>
        </w:rPr>
      </w:pPr>
      <w:r w:rsidRPr="00B54EE0">
        <w:rPr>
          <w:rFonts w:ascii="Arial" w:hAnsi="Arial" w:cs="Arial"/>
          <w:sz w:val="20"/>
          <w:szCs w:val="20"/>
        </w:rPr>
        <w:t>[...]</w:t>
      </w:r>
    </w:p>
    <w:p w:rsidR="00B54EE0" w:rsidRPr="00B54EE0" w:rsidRDefault="00B54EE0" w:rsidP="00B54EE0">
      <w:pPr>
        <w:tabs>
          <w:tab w:val="left" w:pos="1418"/>
        </w:tabs>
        <w:ind w:left="2268"/>
        <w:jc w:val="both"/>
        <w:rPr>
          <w:rFonts w:ascii="Arial" w:hAnsi="Arial" w:cs="Arial"/>
          <w:sz w:val="20"/>
          <w:szCs w:val="20"/>
        </w:rPr>
      </w:pPr>
      <w:r w:rsidRPr="00B54EE0">
        <w:rPr>
          <w:rFonts w:ascii="Arial" w:hAnsi="Arial" w:cs="Arial"/>
          <w:sz w:val="20"/>
          <w:szCs w:val="20"/>
        </w:rPr>
        <w:t>9. Acórdão:</w:t>
      </w:r>
    </w:p>
    <w:p w:rsidR="00B54EE0" w:rsidRPr="00B54EE0" w:rsidRDefault="00B54EE0" w:rsidP="00B54EE0">
      <w:pPr>
        <w:widowControl w:val="0"/>
        <w:ind w:left="2268"/>
        <w:jc w:val="both"/>
        <w:rPr>
          <w:rFonts w:ascii="Arial" w:hAnsi="Arial" w:cs="Arial"/>
          <w:sz w:val="20"/>
          <w:szCs w:val="20"/>
        </w:rPr>
      </w:pPr>
      <w:r w:rsidRPr="00B54EE0">
        <w:rPr>
          <w:rFonts w:ascii="Arial" w:hAnsi="Arial" w:cs="Arial"/>
          <w:sz w:val="20"/>
          <w:szCs w:val="20"/>
        </w:rPr>
        <w:t>VISTOS, relatados e discutidos estes autos em que se examina, na fase processual deste processo em que se apreciam as contas de 2002 da Companhia Brasileira de Trens Urbanos (CBTU), recurso de revisão interposto pelo Ministério Público junto ao TCU contra o Acórdão 334/2007 – 1ª Câmara.</w:t>
      </w:r>
    </w:p>
    <w:p w:rsidR="00B54EE0" w:rsidRPr="00B54EE0" w:rsidRDefault="00B54EE0" w:rsidP="00B54EE0">
      <w:pPr>
        <w:widowControl w:val="0"/>
        <w:ind w:left="2268"/>
        <w:jc w:val="both"/>
        <w:rPr>
          <w:rFonts w:ascii="Arial" w:hAnsi="Arial" w:cs="Arial"/>
          <w:sz w:val="20"/>
          <w:szCs w:val="20"/>
        </w:rPr>
      </w:pPr>
      <w:r w:rsidRPr="00B54EE0">
        <w:rPr>
          <w:rFonts w:ascii="Arial" w:hAnsi="Arial" w:cs="Arial"/>
          <w:sz w:val="20"/>
          <w:szCs w:val="20"/>
        </w:rPr>
        <w:t xml:space="preserve">ACORDAM os Ministros do Tribunal de Contas da União, reunidos em Sessão do Plenário, ante as razões expostas pelo Relator, com base nos </w:t>
      </w:r>
      <w:r w:rsidRPr="00B54EE0">
        <w:rPr>
          <w:rFonts w:ascii="Arial" w:hAnsi="Arial" w:cs="Arial"/>
          <w:sz w:val="20"/>
          <w:szCs w:val="20"/>
        </w:rPr>
        <w:lastRenderedPageBreak/>
        <w:t>arts. 1º, inciso I, 16, inciso III, alínea “c”, e §§ 2º e 3º, 19, 23, inciso III, 28, incisos I e II, 35, 46, 57, 58, incisos II e III, da Lei nº 8.443/1992, em:</w:t>
      </w:r>
    </w:p>
    <w:p w:rsidR="00B54EE0" w:rsidRPr="00B54EE0" w:rsidRDefault="00B54EE0" w:rsidP="00B54EE0">
      <w:pPr>
        <w:widowControl w:val="0"/>
        <w:ind w:left="2268"/>
        <w:jc w:val="both"/>
        <w:rPr>
          <w:rFonts w:ascii="Arial" w:hAnsi="Arial" w:cs="Arial"/>
          <w:sz w:val="20"/>
          <w:szCs w:val="20"/>
        </w:rPr>
      </w:pPr>
      <w:r w:rsidRPr="00B54EE0">
        <w:rPr>
          <w:rFonts w:ascii="Arial" w:hAnsi="Arial" w:cs="Arial"/>
          <w:sz w:val="20"/>
          <w:szCs w:val="20"/>
        </w:rPr>
        <w:t>9.1 conhecer do recurso de revisão para, no mérito, dar-lhe provimento parcial;</w:t>
      </w:r>
    </w:p>
    <w:p w:rsidR="00B54EE0" w:rsidRPr="00B54EE0" w:rsidRDefault="00B54EE0" w:rsidP="00B54EE0">
      <w:pPr>
        <w:widowControl w:val="0"/>
        <w:ind w:left="2268"/>
        <w:jc w:val="both"/>
        <w:rPr>
          <w:rFonts w:ascii="Arial" w:hAnsi="Arial" w:cs="Arial"/>
          <w:sz w:val="20"/>
          <w:szCs w:val="20"/>
        </w:rPr>
      </w:pPr>
      <w:r w:rsidRPr="00B54EE0">
        <w:rPr>
          <w:rFonts w:ascii="Arial" w:hAnsi="Arial" w:cs="Arial"/>
          <w:sz w:val="20"/>
          <w:szCs w:val="20"/>
        </w:rPr>
        <w:t>9.2 tornar insubsistente o Acórdão 334/2007 – 1ª Câmara em relação aos responsáveis Adeilson Teixeira Bezerra, Bergson Aurélio Farias, Clodomir Batista de Albuquerque, José Carlos Lopes de Souza, José Queiroz de Oliveira, José Lúcio Marcelino de Jesus, Valber Paulo da Silva, José Zilto Barbosa Júnior e Damião Fernandes da Silva;</w:t>
      </w:r>
    </w:p>
    <w:p w:rsidR="00B54EE0" w:rsidRPr="00B54EE0" w:rsidRDefault="00B54EE0" w:rsidP="00B54EE0">
      <w:pPr>
        <w:widowControl w:val="0"/>
        <w:ind w:left="2268"/>
        <w:jc w:val="both"/>
        <w:rPr>
          <w:rFonts w:ascii="Arial" w:hAnsi="Arial" w:cs="Arial"/>
          <w:sz w:val="20"/>
          <w:szCs w:val="20"/>
        </w:rPr>
      </w:pPr>
      <w:r w:rsidRPr="00B54EE0">
        <w:rPr>
          <w:rFonts w:ascii="Arial" w:hAnsi="Arial" w:cs="Arial"/>
          <w:sz w:val="20"/>
          <w:szCs w:val="20"/>
        </w:rPr>
        <w:t>9.3 julgar irregulares as contas de Adeilson Teixeira Bezerra, Bergson Aurélio Farias, Clodomir Batista de Albuquerque, José Carlos Lopes de Souza, José Queiroz de Oliveira, José Lúcio Marcelino de Jesus e Valber Paulo da Silva, bem como das empresas JLS Tecnologia, Comércio e Representações Ltda., Silva e Cavalcante Ltda. e Conservadora Santa Clara Ltda.;</w:t>
      </w:r>
    </w:p>
    <w:p w:rsidR="00B54EE0" w:rsidRPr="00B54EE0" w:rsidRDefault="00B54EE0" w:rsidP="00B54EE0">
      <w:pPr>
        <w:widowControl w:val="0"/>
        <w:ind w:left="2268"/>
        <w:jc w:val="both"/>
        <w:rPr>
          <w:rFonts w:ascii="Arial" w:hAnsi="Arial" w:cs="Arial"/>
          <w:sz w:val="20"/>
          <w:szCs w:val="20"/>
        </w:rPr>
      </w:pPr>
      <w:r w:rsidRPr="00B54EE0">
        <w:rPr>
          <w:rFonts w:ascii="Arial" w:hAnsi="Arial" w:cs="Arial"/>
          <w:sz w:val="20"/>
          <w:szCs w:val="20"/>
        </w:rPr>
        <w:t>9.4 excluir José Zilto Barbosa Júnior e Damião Fernandes da Silva do rol de responsáveis;</w:t>
      </w:r>
    </w:p>
    <w:p w:rsidR="00B54EE0" w:rsidRPr="00B54EE0" w:rsidRDefault="00B54EE0" w:rsidP="00B54EE0">
      <w:pPr>
        <w:widowControl w:val="0"/>
        <w:ind w:left="2268"/>
        <w:jc w:val="both"/>
        <w:rPr>
          <w:rFonts w:ascii="Arial" w:hAnsi="Arial" w:cs="Arial"/>
          <w:sz w:val="20"/>
          <w:szCs w:val="20"/>
        </w:rPr>
      </w:pPr>
      <w:r w:rsidRPr="00B54EE0">
        <w:rPr>
          <w:rFonts w:ascii="Arial" w:hAnsi="Arial" w:cs="Arial"/>
          <w:sz w:val="20"/>
          <w:szCs w:val="20"/>
        </w:rPr>
        <w:t>9.5 manter inalterado o julgamento das contas dos demais responsáveis;</w:t>
      </w:r>
    </w:p>
    <w:p w:rsidR="00B54EE0" w:rsidRPr="00B54EE0" w:rsidRDefault="00B54EE0" w:rsidP="00B54EE0">
      <w:pPr>
        <w:widowControl w:val="0"/>
        <w:ind w:left="2268"/>
        <w:jc w:val="both"/>
        <w:rPr>
          <w:rFonts w:ascii="Arial" w:hAnsi="Arial" w:cs="Arial"/>
          <w:sz w:val="20"/>
          <w:szCs w:val="20"/>
        </w:rPr>
      </w:pPr>
      <w:r w:rsidRPr="00B54EE0">
        <w:rPr>
          <w:rFonts w:ascii="Arial" w:hAnsi="Arial" w:cs="Arial"/>
          <w:sz w:val="20"/>
          <w:szCs w:val="20"/>
        </w:rPr>
        <w:t>9.6 </w:t>
      </w:r>
      <w:r w:rsidRPr="00B54EE0">
        <w:rPr>
          <w:rFonts w:ascii="Arial" w:hAnsi="Arial" w:cs="Arial"/>
          <w:sz w:val="20"/>
          <w:szCs w:val="20"/>
          <w:u w:val="single"/>
        </w:rPr>
        <w:t>condenar os responsáveis a seguir indicados, solidariamente com as empresas abaixo citadas, ao pagamento das quantias a seguir especificadas, com a fixação do prazo de 15 (quinze) dias, a contar das notificações, para comprovarem, perante o Tribunal, o recolhimento das dívidas aos cofres da Companhia Brasileira de Trens Urbanos (CBTU)</w:t>
      </w:r>
      <w:r w:rsidRPr="00B54EE0">
        <w:rPr>
          <w:rFonts w:ascii="Arial" w:hAnsi="Arial" w:cs="Arial"/>
          <w:sz w:val="20"/>
          <w:szCs w:val="20"/>
        </w:rPr>
        <w:t>, atualizadas monetariamente e acrescidas dos juros de mora, calculados a partir das datas discriminadas, até a data dos recolhimentos, na forma prevista na legislação em vigor:</w:t>
      </w:r>
    </w:p>
    <w:p w:rsidR="00B54EE0" w:rsidRPr="00B54EE0" w:rsidRDefault="00B54EE0" w:rsidP="00B54EE0">
      <w:pPr>
        <w:ind w:left="2268"/>
        <w:jc w:val="both"/>
        <w:rPr>
          <w:rFonts w:ascii="Arial" w:hAnsi="Arial" w:cs="Arial"/>
          <w:sz w:val="20"/>
          <w:szCs w:val="20"/>
        </w:rPr>
      </w:pPr>
      <w:r w:rsidRPr="00B54EE0">
        <w:rPr>
          <w:rFonts w:ascii="Arial" w:hAnsi="Arial" w:cs="Arial"/>
          <w:sz w:val="20"/>
          <w:szCs w:val="20"/>
        </w:rPr>
        <w:t>9.6.1 Adeilson Teixeira Bezerra, solidariamente com Bergson Aurélio Farias, Clodomir Batista de Albuquerque, José Carlos Lopes de Souza e com a empresa JLS Tecnologia, Comércio e Representações Ltda.:</w:t>
      </w:r>
    </w:p>
    <w:tbl>
      <w:tblPr>
        <w:tblW w:w="0" w:type="auto"/>
        <w:tblInd w:w="2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40"/>
        <w:gridCol w:w="3040"/>
      </w:tblGrid>
      <w:tr w:rsidR="00B54EE0" w:rsidRPr="00B54EE0" w:rsidTr="00B54EE0">
        <w:tc>
          <w:tcPr>
            <w:tcW w:w="2740"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VALOR ORIGINAL (R$)</w:t>
            </w:r>
          </w:p>
        </w:tc>
        <w:tc>
          <w:tcPr>
            <w:tcW w:w="3040"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DATA DA OCORRÊNCIA</w:t>
            </w:r>
          </w:p>
        </w:tc>
      </w:tr>
      <w:tr w:rsidR="00B54EE0" w:rsidRPr="00B54EE0" w:rsidTr="00B54EE0">
        <w:tc>
          <w:tcPr>
            <w:tcW w:w="2740"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91.711,10</w:t>
            </w:r>
          </w:p>
        </w:tc>
        <w:tc>
          <w:tcPr>
            <w:tcW w:w="3040"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22/10/2002</w:t>
            </w:r>
          </w:p>
        </w:tc>
      </w:tr>
      <w:tr w:rsidR="00B54EE0" w:rsidRPr="00B54EE0" w:rsidTr="00B54EE0">
        <w:tc>
          <w:tcPr>
            <w:tcW w:w="2740"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100.580,00</w:t>
            </w:r>
          </w:p>
        </w:tc>
        <w:tc>
          <w:tcPr>
            <w:tcW w:w="3040"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22/10/2002</w:t>
            </w:r>
          </w:p>
        </w:tc>
      </w:tr>
      <w:tr w:rsidR="00B54EE0" w:rsidRPr="00B54EE0" w:rsidTr="00B54EE0">
        <w:tc>
          <w:tcPr>
            <w:tcW w:w="2740"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46.930,00</w:t>
            </w:r>
          </w:p>
        </w:tc>
        <w:tc>
          <w:tcPr>
            <w:tcW w:w="3040"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22/11/2002</w:t>
            </w:r>
          </w:p>
        </w:tc>
      </w:tr>
      <w:tr w:rsidR="00B54EE0" w:rsidRPr="00B54EE0" w:rsidTr="00B54EE0">
        <w:tc>
          <w:tcPr>
            <w:tcW w:w="2740"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49.220,00</w:t>
            </w:r>
          </w:p>
        </w:tc>
        <w:tc>
          <w:tcPr>
            <w:tcW w:w="3040"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22/11/2002</w:t>
            </w:r>
          </w:p>
        </w:tc>
      </w:tr>
    </w:tbl>
    <w:p w:rsidR="00B54EE0" w:rsidRPr="00B54EE0" w:rsidRDefault="00B54EE0" w:rsidP="00B54EE0">
      <w:pPr>
        <w:ind w:left="2268"/>
        <w:jc w:val="both"/>
        <w:rPr>
          <w:rFonts w:ascii="Arial" w:hAnsi="Arial" w:cs="Arial"/>
          <w:sz w:val="20"/>
          <w:szCs w:val="20"/>
        </w:rPr>
      </w:pPr>
      <w:r w:rsidRPr="00B54EE0">
        <w:rPr>
          <w:rFonts w:ascii="Arial" w:hAnsi="Arial" w:cs="Arial"/>
          <w:sz w:val="20"/>
          <w:szCs w:val="20"/>
        </w:rPr>
        <w:t>9.6.2 </w:t>
      </w:r>
      <w:r w:rsidRPr="00B54EE0">
        <w:rPr>
          <w:rFonts w:ascii="Arial" w:hAnsi="Arial" w:cs="Arial"/>
          <w:sz w:val="20"/>
          <w:szCs w:val="20"/>
          <w:u w:val="single"/>
        </w:rPr>
        <w:t>Adeilson Teixeira Bezerra, solidariamente com José Queiroz de Oliveira e com a empresa Silva &amp; Cavalcante Ltda</w:t>
      </w:r>
      <w:r w:rsidRPr="00B54EE0">
        <w:rPr>
          <w:rFonts w:ascii="Arial" w:hAnsi="Arial" w:cs="Arial"/>
          <w:sz w:val="20"/>
          <w:szCs w:val="20"/>
        </w:rPr>
        <w:t>.:</w:t>
      </w:r>
    </w:p>
    <w:tbl>
      <w:tblPr>
        <w:tblW w:w="0" w:type="auto"/>
        <w:tblInd w:w="2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5"/>
        <w:gridCol w:w="2775"/>
      </w:tblGrid>
      <w:tr w:rsidR="00B54EE0" w:rsidRPr="00B54EE0" w:rsidTr="00B54EE0">
        <w:tc>
          <w:tcPr>
            <w:tcW w:w="2975"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VALOR ORIGINAL (R$)</w:t>
            </w:r>
          </w:p>
        </w:tc>
        <w:tc>
          <w:tcPr>
            <w:tcW w:w="2775"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DATA DA OCORRÊNCIA</w:t>
            </w:r>
          </w:p>
        </w:tc>
      </w:tr>
      <w:tr w:rsidR="00B54EE0" w:rsidRPr="00B54EE0" w:rsidTr="00B54EE0">
        <w:tc>
          <w:tcPr>
            <w:tcW w:w="2975"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4.623,95</w:t>
            </w:r>
          </w:p>
        </w:tc>
        <w:tc>
          <w:tcPr>
            <w:tcW w:w="2775"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31/10/2002</w:t>
            </w:r>
          </w:p>
        </w:tc>
      </w:tr>
      <w:tr w:rsidR="00B54EE0" w:rsidRPr="00B54EE0" w:rsidTr="00B54EE0">
        <w:tc>
          <w:tcPr>
            <w:tcW w:w="2975"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4.405,49</w:t>
            </w:r>
          </w:p>
        </w:tc>
        <w:tc>
          <w:tcPr>
            <w:tcW w:w="2775"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30/11/2002</w:t>
            </w:r>
          </w:p>
        </w:tc>
      </w:tr>
      <w:tr w:rsidR="00B54EE0" w:rsidRPr="00B54EE0" w:rsidTr="00B54EE0">
        <w:tc>
          <w:tcPr>
            <w:tcW w:w="2975"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4.926,54</w:t>
            </w:r>
          </w:p>
        </w:tc>
        <w:tc>
          <w:tcPr>
            <w:tcW w:w="2775" w:type="dxa"/>
          </w:tcPr>
          <w:p w:rsidR="00B54EE0" w:rsidRPr="00B54EE0" w:rsidRDefault="00B54EE0" w:rsidP="00B54EE0">
            <w:pPr>
              <w:pStyle w:val="Corpodetexto"/>
              <w:tabs>
                <w:tab w:val="left" w:pos="1134"/>
                <w:tab w:val="left" w:pos="5103"/>
              </w:tabs>
              <w:rPr>
                <w:rFonts w:ascii="Arial" w:hAnsi="Arial" w:cs="Arial"/>
                <w:sz w:val="20"/>
              </w:rPr>
            </w:pPr>
            <w:r w:rsidRPr="00B54EE0">
              <w:rPr>
                <w:rFonts w:ascii="Arial" w:hAnsi="Arial" w:cs="Arial"/>
                <w:sz w:val="20"/>
              </w:rPr>
              <w:t>31/12/2002</w:t>
            </w:r>
          </w:p>
        </w:tc>
      </w:tr>
    </w:tbl>
    <w:p w:rsidR="007C6A42" w:rsidRPr="0092398E" w:rsidRDefault="0092398E" w:rsidP="0092398E">
      <w:pPr>
        <w:tabs>
          <w:tab w:val="left" w:pos="1418"/>
        </w:tabs>
        <w:spacing w:after="200"/>
        <w:ind w:left="2268"/>
        <w:jc w:val="both"/>
        <w:rPr>
          <w:rFonts w:ascii="Arial" w:hAnsi="Arial" w:cs="Arial"/>
          <w:sz w:val="20"/>
          <w:szCs w:val="20"/>
        </w:rPr>
      </w:pPr>
      <w:r w:rsidRPr="0092398E">
        <w:rPr>
          <w:rFonts w:ascii="Arial" w:hAnsi="Arial" w:cs="Arial"/>
          <w:sz w:val="20"/>
          <w:szCs w:val="20"/>
        </w:rPr>
        <w:t xml:space="preserve">9.7 aplicar, individualmente, a multa prevista no art. 57 da Lei 8.443/1992 a Adeilson Teixeira Bezerra, no valor de R$ 80.000,00 (oitenta mil reais), Bergson Aurélio Farias, no valor de R$ 70.000,00 (setenta mil reais), Clodomir Batista de Albuquerque, José Carlos Lopes de Souza e à JLS Tecnologia, Comércio e Representações Ltda., no valor de R$ 60.000,00 (sessenta mil reais), a José Queiroz de Oliveira, no valor de R$ 20.000,00 (vinte mil reais), e às empresas Silva e Cavalcante Ltda., no valor de R$ 3.000,00 (três mil reais), e Conservadora Santa Clara Ltda., no valor de R$ 5.000,00 (cinco mil reais), com a fixação do prazo de quinze dias, a contar das notificações, para comprovarem, perante o Tribunal, o recolhimento das dívidas aos cofres do Tesouro Nacional, atualizadas monetariamente desde </w:t>
      </w:r>
      <w:r w:rsidRPr="0092398E">
        <w:rPr>
          <w:rFonts w:ascii="Arial" w:hAnsi="Arial" w:cs="Arial"/>
          <w:sz w:val="20"/>
          <w:szCs w:val="20"/>
        </w:rPr>
        <w:lastRenderedPageBreak/>
        <w:t>a data deste acórdão até a dos efetivos recolhimentos, se forem pagas após o vencimento, na forma da legislação em vigor</w:t>
      </w:r>
      <w:r>
        <w:rPr>
          <w:rFonts w:ascii="Arial" w:hAnsi="Arial" w:cs="Arial"/>
          <w:sz w:val="20"/>
          <w:szCs w:val="20"/>
        </w:rPr>
        <w:t>;”</w:t>
      </w:r>
      <w:r w:rsidR="00925993">
        <w:rPr>
          <w:rStyle w:val="Refdenotaderodap"/>
          <w:rFonts w:ascii="Arial" w:hAnsi="Arial" w:cs="Arial"/>
          <w:sz w:val="20"/>
          <w:szCs w:val="20"/>
        </w:rPr>
        <w:footnoteReference w:id="3"/>
      </w:r>
    </w:p>
    <w:p w:rsidR="00906758" w:rsidRDefault="00083093" w:rsidP="00906758">
      <w:pPr>
        <w:numPr>
          <w:ilvl w:val="0"/>
          <w:numId w:val="1"/>
        </w:numPr>
        <w:tabs>
          <w:tab w:val="clear" w:pos="2808"/>
          <w:tab w:val="left" w:pos="1418"/>
        </w:tabs>
        <w:spacing w:after="200" w:line="360" w:lineRule="auto"/>
        <w:ind w:left="0" w:firstLine="0"/>
        <w:jc w:val="both"/>
        <w:rPr>
          <w:rFonts w:ascii="Arial" w:hAnsi="Arial" w:cs="Arial"/>
          <w:sz w:val="23"/>
          <w:szCs w:val="23"/>
        </w:rPr>
      </w:pPr>
      <w:r w:rsidRPr="00222F17">
        <w:rPr>
          <w:rFonts w:ascii="Arial" w:hAnsi="Arial" w:cs="Arial"/>
          <w:sz w:val="23"/>
          <w:szCs w:val="23"/>
        </w:rPr>
        <w:t xml:space="preserve">Assim, </w:t>
      </w:r>
      <w:r w:rsidR="007C6A42" w:rsidRPr="00222F17">
        <w:rPr>
          <w:rFonts w:ascii="Arial" w:hAnsi="Arial" w:cs="Arial"/>
          <w:sz w:val="23"/>
          <w:szCs w:val="23"/>
        </w:rPr>
        <w:t xml:space="preserve">ante a </w:t>
      </w:r>
      <w:r w:rsidR="00F42462" w:rsidRPr="00222F17">
        <w:rPr>
          <w:rFonts w:ascii="Arial" w:hAnsi="Arial" w:cs="Arial"/>
          <w:sz w:val="23"/>
          <w:szCs w:val="23"/>
        </w:rPr>
        <w:t>nulidade de pleno direito</w:t>
      </w:r>
      <w:r w:rsidR="007C6A42" w:rsidRPr="00222F17">
        <w:rPr>
          <w:rFonts w:ascii="Arial" w:hAnsi="Arial" w:cs="Arial"/>
          <w:sz w:val="23"/>
          <w:szCs w:val="23"/>
        </w:rPr>
        <w:t xml:space="preserve"> do 4º TA e do reajuste por ele concedido,</w:t>
      </w:r>
      <w:r w:rsidR="00222F17" w:rsidRPr="00222F17">
        <w:rPr>
          <w:rFonts w:ascii="Arial" w:hAnsi="Arial" w:cs="Arial"/>
          <w:sz w:val="23"/>
          <w:szCs w:val="23"/>
        </w:rPr>
        <w:t xml:space="preserve"> à vista do que dispõem o art. 2º, §1º, da Lei nº 10.192, de 2001, e a Cláusula VII do Contrato nº 205/2006,</w:t>
      </w:r>
      <w:r w:rsidR="007C6A42" w:rsidRPr="00222F17">
        <w:rPr>
          <w:rFonts w:ascii="Arial" w:hAnsi="Arial" w:cs="Arial"/>
          <w:sz w:val="23"/>
          <w:szCs w:val="23"/>
        </w:rPr>
        <w:t xml:space="preserve"> entendemos que</w:t>
      </w:r>
      <w:r w:rsidR="00222F17" w:rsidRPr="00222F17">
        <w:rPr>
          <w:rFonts w:ascii="Arial" w:hAnsi="Arial" w:cs="Arial"/>
          <w:sz w:val="23"/>
          <w:szCs w:val="23"/>
        </w:rPr>
        <w:t xml:space="preserve"> </w:t>
      </w:r>
      <w:r w:rsidR="00222F17" w:rsidRPr="00222F17">
        <w:rPr>
          <w:rFonts w:ascii="Arial" w:hAnsi="Arial" w:cs="Arial"/>
          <w:sz w:val="23"/>
          <w:szCs w:val="23"/>
          <w:u w:val="single"/>
        </w:rPr>
        <w:t xml:space="preserve">o acréscimo </w:t>
      </w:r>
      <w:r w:rsidR="007E5BCE">
        <w:rPr>
          <w:rFonts w:ascii="Arial" w:hAnsi="Arial" w:cs="Arial"/>
          <w:sz w:val="23"/>
          <w:szCs w:val="23"/>
          <w:u w:val="single"/>
        </w:rPr>
        <w:t>ilegal</w:t>
      </w:r>
      <w:r w:rsidR="00222F17" w:rsidRPr="00222F17">
        <w:rPr>
          <w:rFonts w:ascii="Arial" w:hAnsi="Arial" w:cs="Arial"/>
          <w:sz w:val="23"/>
          <w:szCs w:val="23"/>
          <w:u w:val="single"/>
        </w:rPr>
        <w:t xml:space="preserve"> de preço caracterizou dano ao erário do Município de Uberaba, no valor histórico de R$ 14.526.042,28, pelo qual </w:t>
      </w:r>
      <w:r w:rsidR="007C6A42" w:rsidRPr="00222F17">
        <w:rPr>
          <w:rFonts w:ascii="Arial" w:hAnsi="Arial" w:cs="Arial"/>
          <w:sz w:val="23"/>
          <w:szCs w:val="23"/>
          <w:u w:val="single"/>
        </w:rPr>
        <w:t>são responsáveis os Senhores João Ricardo Pessoa Vicente, José Eduardo Rodrigues da Cunha e Anderson Adauto Pereira</w:t>
      </w:r>
      <w:r w:rsidR="007C6A42" w:rsidRPr="00222F17">
        <w:rPr>
          <w:rFonts w:ascii="Arial" w:hAnsi="Arial" w:cs="Arial"/>
          <w:sz w:val="23"/>
          <w:szCs w:val="23"/>
        </w:rPr>
        <w:t>, respectivamente Superintendente de Serviços Urbanos e Estradas Municipais, Secretário de Infra-Estrutura (solicitantes do aditamento) e Prefeito Municipal (que autorizou e celebrou o Termo Aditivo).</w:t>
      </w:r>
    </w:p>
    <w:p w:rsidR="00F109A4" w:rsidRPr="00BC3DDB" w:rsidRDefault="00BC3DDB" w:rsidP="00BC3DDB">
      <w:pPr>
        <w:pStyle w:val="PargrafodaLista"/>
        <w:numPr>
          <w:ilvl w:val="0"/>
          <w:numId w:val="4"/>
        </w:numPr>
        <w:tabs>
          <w:tab w:val="left" w:pos="1418"/>
        </w:tabs>
        <w:spacing w:after="200" w:line="360" w:lineRule="auto"/>
        <w:jc w:val="both"/>
        <w:rPr>
          <w:rFonts w:ascii="Arial" w:hAnsi="Arial" w:cs="Arial"/>
          <w:sz w:val="23"/>
          <w:szCs w:val="23"/>
        </w:rPr>
      </w:pPr>
      <w:r>
        <w:rPr>
          <w:rFonts w:ascii="Arial" w:hAnsi="Arial" w:cs="Arial"/>
          <w:i/>
          <w:sz w:val="23"/>
          <w:szCs w:val="23"/>
        </w:rPr>
        <w:t>Da inobservância do limite para aditamento</w:t>
      </w:r>
    </w:p>
    <w:p w:rsidR="00587D1B" w:rsidRPr="00106C88" w:rsidRDefault="00587D1B"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sidRPr="00106C88">
        <w:rPr>
          <w:rFonts w:ascii="Arial" w:hAnsi="Arial" w:cs="Arial"/>
          <w:sz w:val="23"/>
          <w:szCs w:val="23"/>
        </w:rPr>
        <w:t>Outro ponto discutido pela 4ª CFM em seu parecer consiste na celebração de Termos Aditivos que, somados, perfizeram o valor de R$ 32.548.725,76, correspondente a mais de 60% do preço contratado inicialmente, extrapolando, pois, o limite de 25% permitido pela legislação.</w:t>
      </w:r>
      <w:r w:rsidR="00106C88">
        <w:rPr>
          <w:rFonts w:ascii="Arial" w:hAnsi="Arial" w:cs="Arial"/>
          <w:sz w:val="23"/>
          <w:szCs w:val="23"/>
        </w:rPr>
        <w:t xml:space="preserve"> </w:t>
      </w:r>
      <w:r w:rsidR="00106C88" w:rsidRPr="00106C88">
        <w:rPr>
          <w:rFonts w:ascii="Arial" w:hAnsi="Arial" w:cs="Arial"/>
          <w:sz w:val="23"/>
          <w:szCs w:val="23"/>
        </w:rPr>
        <w:t>Tal cálculo levou em consideração os acréscimos financeiros decorrentes dos seis termos aditivos.</w:t>
      </w:r>
    </w:p>
    <w:p w:rsidR="00106C88" w:rsidRDefault="00106C88"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Aqui, cumpre mais uma vez fazer a análise destacada dos instrumentos, conforme seu conteúdo.</w:t>
      </w:r>
    </w:p>
    <w:p w:rsidR="00106C88" w:rsidRDefault="00106C88"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Consoante de</w:t>
      </w:r>
      <w:r w:rsidR="00753A17">
        <w:rPr>
          <w:rFonts w:ascii="Arial" w:hAnsi="Arial" w:cs="Arial"/>
          <w:sz w:val="23"/>
          <w:szCs w:val="23"/>
        </w:rPr>
        <w:t xml:space="preserve">limitado no tópico anterior, o 1º, 2º, 3º e 6º Termos Aditivos se destinaram a aplicar a repactuação dos valores contratados, a fim de recompor o efeito inflacionário e os aumentos salariais definidos em convenção coletiva de trabalho. Não há, portanto, </w:t>
      </w:r>
      <w:r w:rsidR="0034596E">
        <w:rPr>
          <w:rFonts w:ascii="Arial" w:hAnsi="Arial" w:cs="Arial"/>
          <w:sz w:val="23"/>
          <w:szCs w:val="23"/>
        </w:rPr>
        <w:t>variação na extensão do</w:t>
      </w:r>
      <w:r w:rsidR="00753A17">
        <w:rPr>
          <w:rFonts w:ascii="Arial" w:hAnsi="Arial" w:cs="Arial"/>
          <w:sz w:val="23"/>
          <w:szCs w:val="23"/>
        </w:rPr>
        <w:t xml:space="preserve"> objeto do contrato</w:t>
      </w:r>
      <w:r w:rsidR="00BD5806">
        <w:rPr>
          <w:rFonts w:ascii="Arial" w:hAnsi="Arial" w:cs="Arial"/>
          <w:sz w:val="23"/>
          <w:szCs w:val="23"/>
        </w:rPr>
        <w:t>.</w:t>
      </w:r>
    </w:p>
    <w:p w:rsidR="0034596E" w:rsidRDefault="0034596E"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Por esse motivo, </w:t>
      </w:r>
      <w:r w:rsidR="00012525">
        <w:rPr>
          <w:rFonts w:ascii="Arial" w:hAnsi="Arial" w:cs="Arial"/>
          <w:sz w:val="23"/>
          <w:szCs w:val="23"/>
        </w:rPr>
        <w:t xml:space="preserve">entendemos não se tratar do acréscimo a que faz referência o art. 65, §1º, da Lei nº 8.666, de 1993, cujo texto pretende </w:t>
      </w:r>
      <w:r w:rsidR="00E673F0">
        <w:rPr>
          <w:rFonts w:ascii="Arial" w:hAnsi="Arial" w:cs="Arial"/>
          <w:sz w:val="23"/>
          <w:szCs w:val="23"/>
        </w:rPr>
        <w:t xml:space="preserve">evitar o aditamento ilimitado dos quantitativos dos contratos públicos, com preterição da regra que obriga a realização de licitações. </w:t>
      </w:r>
    </w:p>
    <w:p w:rsidR="00E673F0" w:rsidRDefault="00E673F0"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lastRenderedPageBreak/>
        <w:t>Os TAs em comento não se prestam a tal objetivo, mas apenas a preservar o valor da contraprestação nos contratos de serviços contínuos, com largo prazo de execução.</w:t>
      </w:r>
    </w:p>
    <w:p w:rsidR="00E673F0" w:rsidRDefault="00E673F0" w:rsidP="0083180A">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No mesmo sentido manifestou-se esta Corte de Contas, em prejulgamento de tese, na Consulta nº </w:t>
      </w:r>
      <w:r w:rsidR="00572010">
        <w:rPr>
          <w:rFonts w:ascii="Arial" w:hAnsi="Arial" w:cs="Arial"/>
          <w:sz w:val="23"/>
          <w:szCs w:val="23"/>
        </w:rPr>
        <w:t>761.137:</w:t>
      </w:r>
    </w:p>
    <w:p w:rsidR="00196F2E" w:rsidRPr="00196F2E" w:rsidRDefault="00196F2E" w:rsidP="00196F2E">
      <w:pPr>
        <w:pStyle w:val="TextosemFormatao"/>
        <w:ind w:left="2268"/>
        <w:jc w:val="both"/>
        <w:rPr>
          <w:rFonts w:ascii="Arial" w:hAnsi="Arial" w:cs="Arial"/>
        </w:rPr>
      </w:pPr>
      <w:r>
        <w:rPr>
          <w:rFonts w:ascii="Arial" w:hAnsi="Arial" w:cs="Arial"/>
        </w:rPr>
        <w:t>“</w:t>
      </w:r>
      <w:r w:rsidRPr="00196F2E">
        <w:rPr>
          <w:rFonts w:ascii="Arial" w:hAnsi="Arial" w:cs="Arial"/>
        </w:rPr>
        <w:t>Por fim, inicio a análise do terceiro questionamento presente nesta Consulta, referente à aplicabilidade dos limites previstos no art. 65, §1</w:t>
      </w:r>
      <w:r w:rsidRPr="00196F2E">
        <w:rPr>
          <w:rFonts w:ascii="Arial" w:hAnsi="Arial" w:cs="Arial"/>
          <w:vertAlign w:val="superscript"/>
        </w:rPr>
        <w:t>o</w:t>
      </w:r>
      <w:r w:rsidRPr="00196F2E">
        <w:rPr>
          <w:rFonts w:ascii="Arial" w:hAnsi="Arial" w:cs="Arial"/>
        </w:rPr>
        <w:t xml:space="preserve"> da Lei 8.666/93 aos Reajustes realizados em contratos administrativos.</w:t>
      </w:r>
    </w:p>
    <w:p w:rsidR="00196F2E" w:rsidRPr="00196F2E" w:rsidRDefault="00196F2E" w:rsidP="00196F2E">
      <w:pPr>
        <w:pStyle w:val="TextosemFormatao"/>
        <w:ind w:left="2268"/>
        <w:jc w:val="both"/>
        <w:rPr>
          <w:rFonts w:ascii="Arial" w:hAnsi="Arial" w:cs="Arial"/>
        </w:rPr>
      </w:pPr>
      <w:r w:rsidRPr="00196F2E">
        <w:rPr>
          <w:rFonts w:ascii="Arial" w:hAnsi="Arial" w:cs="Arial"/>
        </w:rPr>
        <w:t>Veja-se o texto do referido comando legal:</w:t>
      </w:r>
    </w:p>
    <w:p w:rsidR="00196F2E" w:rsidRPr="00196F2E" w:rsidRDefault="00196F2E" w:rsidP="00196F2E">
      <w:pPr>
        <w:ind w:left="2268"/>
        <w:jc w:val="both"/>
        <w:rPr>
          <w:rFonts w:ascii="Arial" w:hAnsi="Arial" w:cs="Arial"/>
          <w:i/>
          <w:sz w:val="20"/>
          <w:szCs w:val="20"/>
        </w:rPr>
      </w:pPr>
      <w:r w:rsidRPr="00196F2E">
        <w:rPr>
          <w:rFonts w:ascii="Arial" w:hAnsi="Arial" w:cs="Arial"/>
          <w:i/>
          <w:sz w:val="20"/>
          <w:szCs w:val="20"/>
        </w:rPr>
        <w:t>Art. 65 (...)</w:t>
      </w:r>
    </w:p>
    <w:p w:rsidR="00196F2E" w:rsidRPr="00196F2E" w:rsidRDefault="00196F2E" w:rsidP="00196F2E">
      <w:pPr>
        <w:ind w:left="2268"/>
        <w:jc w:val="both"/>
        <w:rPr>
          <w:rFonts w:ascii="Arial" w:hAnsi="Arial" w:cs="Arial"/>
          <w:i/>
          <w:sz w:val="20"/>
          <w:szCs w:val="20"/>
        </w:rPr>
      </w:pPr>
      <w:r w:rsidRPr="00196F2E">
        <w:rPr>
          <w:rFonts w:ascii="Arial" w:hAnsi="Arial" w:cs="Arial"/>
          <w:i/>
          <w:sz w:val="20"/>
          <w:szCs w:val="20"/>
        </w:rPr>
        <w:t>§ 1</w:t>
      </w:r>
      <w:r w:rsidRPr="00196F2E">
        <w:rPr>
          <w:rFonts w:ascii="Arial" w:hAnsi="Arial" w:cs="Arial"/>
          <w:i/>
          <w:sz w:val="20"/>
          <w:szCs w:val="20"/>
          <w:u w:val="single"/>
          <w:vertAlign w:val="superscript"/>
        </w:rPr>
        <w:t>o</w:t>
      </w:r>
      <w:r w:rsidRPr="00196F2E">
        <w:rPr>
          <w:rFonts w:ascii="Arial" w:hAnsi="Arial" w:cs="Arial"/>
          <w:i/>
          <w:sz w:val="20"/>
          <w:szCs w:val="20"/>
        </w:rPr>
        <w:t xml:space="preserve"> O contratado fica obrigado a aceitar, nas mesmas condições contratuais, os acréscimos ou supressões que se fizerem nas obras, serviços ou compras, até 25% (vinte e cinco por cento) do valor inicial atualizado do contrato, e, no caso particular de reforma de edifício ou de equipamento, até o limite de 50% (cinqüenta por cento) para os seus acréscimos.</w:t>
      </w:r>
    </w:p>
    <w:p w:rsidR="00196F2E" w:rsidRPr="00196F2E" w:rsidRDefault="00196F2E" w:rsidP="00196F2E">
      <w:pPr>
        <w:ind w:left="2268"/>
        <w:jc w:val="both"/>
        <w:rPr>
          <w:rFonts w:ascii="Arial" w:hAnsi="Arial" w:cs="Arial"/>
          <w:i/>
          <w:sz w:val="20"/>
          <w:szCs w:val="20"/>
        </w:rPr>
      </w:pPr>
      <w:r w:rsidRPr="00196F2E">
        <w:rPr>
          <w:rFonts w:ascii="Arial" w:hAnsi="Arial" w:cs="Arial"/>
          <w:i/>
          <w:sz w:val="20"/>
          <w:szCs w:val="20"/>
        </w:rPr>
        <w:t xml:space="preserve">(...) </w:t>
      </w:r>
    </w:p>
    <w:p w:rsidR="00196F2E" w:rsidRPr="00196F2E" w:rsidRDefault="00196F2E" w:rsidP="00196F2E">
      <w:pPr>
        <w:pStyle w:val="Corpodetexto"/>
        <w:ind w:left="2268"/>
        <w:rPr>
          <w:rFonts w:ascii="Arial" w:hAnsi="Arial" w:cs="Arial"/>
          <w:sz w:val="20"/>
        </w:rPr>
      </w:pPr>
      <w:r w:rsidRPr="00196F2E">
        <w:rPr>
          <w:rFonts w:ascii="Arial" w:hAnsi="Arial" w:cs="Arial"/>
          <w:sz w:val="20"/>
        </w:rPr>
        <w:t xml:space="preserve">Através de tal dispositivo, a Lei 8.666/93 buscou limitar a possibilidade de alteração quantitativa do objeto de contratações públicas. </w:t>
      </w:r>
    </w:p>
    <w:p w:rsidR="00196F2E" w:rsidRPr="00196F2E" w:rsidRDefault="00196F2E" w:rsidP="00196F2E">
      <w:pPr>
        <w:pStyle w:val="Corpodetexto"/>
        <w:ind w:left="2268"/>
        <w:rPr>
          <w:rFonts w:ascii="Arial" w:hAnsi="Arial" w:cs="Arial"/>
          <w:sz w:val="20"/>
        </w:rPr>
      </w:pPr>
      <w:r w:rsidRPr="00196F2E">
        <w:rPr>
          <w:rFonts w:ascii="Arial" w:hAnsi="Arial" w:cs="Arial"/>
          <w:sz w:val="20"/>
        </w:rPr>
        <w:t>No entanto, é cediço que tal norma destina-se apenas às hipóteses em que há efetiva alteração do objeto do contrato administrativo. Não se referem os seus limites aos procedimentos de Revisão e de Reajuste das avenças, nos quais, em verdade, busca-se a manutenção da equação</w:t>
      </w:r>
      <w:r>
        <w:rPr>
          <w:rFonts w:ascii="Arial" w:hAnsi="Arial" w:cs="Arial"/>
          <w:sz w:val="20"/>
        </w:rPr>
        <w:t xml:space="preserve"> </w:t>
      </w:r>
      <w:r w:rsidRPr="00196F2E">
        <w:rPr>
          <w:rFonts w:ascii="Arial" w:hAnsi="Arial" w:cs="Arial"/>
          <w:sz w:val="20"/>
        </w:rPr>
        <w:t>econômico financeira do contrato, e não a modificação da prestação devida pelo particular contratado.</w:t>
      </w:r>
    </w:p>
    <w:p w:rsidR="00196F2E" w:rsidRPr="00196F2E" w:rsidRDefault="00196F2E" w:rsidP="00196F2E">
      <w:pPr>
        <w:ind w:left="2268"/>
        <w:jc w:val="both"/>
        <w:rPr>
          <w:rFonts w:ascii="Arial" w:hAnsi="Arial" w:cs="Arial"/>
          <w:sz w:val="20"/>
          <w:szCs w:val="20"/>
        </w:rPr>
      </w:pPr>
      <w:r w:rsidRPr="00196F2E">
        <w:rPr>
          <w:rFonts w:ascii="Arial" w:hAnsi="Arial" w:cs="Arial"/>
          <w:sz w:val="20"/>
          <w:szCs w:val="20"/>
        </w:rPr>
        <w:t>Nesse sentido, citamos posicionamento do professor Joel de Menezes Niebuhr:</w:t>
      </w:r>
    </w:p>
    <w:p w:rsidR="00196F2E" w:rsidRPr="00196F2E" w:rsidRDefault="00196F2E" w:rsidP="00196F2E">
      <w:pPr>
        <w:pStyle w:val="Corpodetexto"/>
        <w:ind w:left="2268"/>
        <w:rPr>
          <w:rFonts w:ascii="Arial" w:hAnsi="Arial" w:cs="Arial"/>
          <w:i w:val="0"/>
          <w:sz w:val="20"/>
        </w:rPr>
      </w:pPr>
      <w:r>
        <w:rPr>
          <w:rFonts w:ascii="Arial" w:hAnsi="Arial" w:cs="Arial"/>
          <w:i w:val="0"/>
          <w:sz w:val="20"/>
        </w:rPr>
        <w:t>‘</w:t>
      </w:r>
      <w:r w:rsidRPr="00196F2E">
        <w:rPr>
          <w:rFonts w:ascii="Arial" w:hAnsi="Arial" w:cs="Arial"/>
          <w:i w:val="0"/>
          <w:sz w:val="20"/>
        </w:rPr>
        <w:t>Tanto as alterações realizadas para manter o equilíbrio econômico financeiro do contrato propriamente dito, quanto os decorrentes de reajuste, não devem obedecer os limites dos 25% dos valores inicias devidamente atualizados, prescritos no § 1º do artigo 65 da Lei nº 8.666/93. O limite de 25% é para as situações em que se acresce o objeto</w:t>
      </w:r>
      <w:r>
        <w:rPr>
          <w:rFonts w:ascii="Arial" w:hAnsi="Arial" w:cs="Arial"/>
          <w:i w:val="0"/>
          <w:sz w:val="20"/>
        </w:rPr>
        <w:t>’</w:t>
      </w:r>
      <w:r w:rsidRPr="00196F2E">
        <w:rPr>
          <w:rFonts w:ascii="Arial" w:hAnsi="Arial" w:cs="Arial"/>
          <w:i w:val="0"/>
          <w:sz w:val="20"/>
        </w:rPr>
        <w:t xml:space="preserve">. </w:t>
      </w:r>
    </w:p>
    <w:p w:rsidR="00196F2E" w:rsidRPr="00196F2E" w:rsidRDefault="00196F2E" w:rsidP="00196F2E">
      <w:pPr>
        <w:pStyle w:val="TextosemFormatao"/>
        <w:tabs>
          <w:tab w:val="left" w:pos="8010"/>
        </w:tabs>
        <w:ind w:left="2268"/>
        <w:jc w:val="both"/>
        <w:rPr>
          <w:rFonts w:ascii="Arial" w:hAnsi="Arial" w:cs="Arial"/>
        </w:rPr>
      </w:pPr>
      <w:r w:rsidRPr="00196F2E">
        <w:rPr>
          <w:rFonts w:ascii="Arial" w:hAnsi="Arial" w:cs="Arial"/>
        </w:rPr>
        <w:t>III - VOTO</w:t>
      </w:r>
      <w:r w:rsidRPr="00196F2E">
        <w:rPr>
          <w:rFonts w:ascii="Arial" w:hAnsi="Arial" w:cs="Arial"/>
        </w:rPr>
        <w:tab/>
      </w:r>
    </w:p>
    <w:p w:rsidR="00196F2E" w:rsidRDefault="00196F2E" w:rsidP="00196F2E">
      <w:pPr>
        <w:pStyle w:val="TextosemFormatao"/>
        <w:ind w:left="2268"/>
        <w:jc w:val="both"/>
        <w:rPr>
          <w:rFonts w:ascii="Arial" w:hAnsi="Arial" w:cs="Arial"/>
        </w:rPr>
      </w:pPr>
      <w:r w:rsidRPr="00196F2E">
        <w:rPr>
          <w:rFonts w:ascii="Arial" w:hAnsi="Arial" w:cs="Arial"/>
        </w:rPr>
        <w:t>Pelas razões elencadas, respondo a esta Consulta, em suma, nos seguintes termos:</w:t>
      </w:r>
    </w:p>
    <w:p w:rsidR="00196F2E" w:rsidRPr="00196F2E" w:rsidRDefault="00196F2E" w:rsidP="00196F2E">
      <w:pPr>
        <w:pStyle w:val="TextosemFormatao"/>
        <w:ind w:left="2268"/>
        <w:jc w:val="both"/>
        <w:rPr>
          <w:rFonts w:ascii="Arial" w:hAnsi="Arial" w:cs="Arial"/>
        </w:rPr>
      </w:pPr>
      <w:r>
        <w:rPr>
          <w:rFonts w:ascii="Arial" w:hAnsi="Arial" w:cs="Arial"/>
        </w:rPr>
        <w:t>[...]</w:t>
      </w:r>
    </w:p>
    <w:p w:rsidR="00572010" w:rsidRPr="00196F2E" w:rsidRDefault="00196F2E" w:rsidP="00196F2E">
      <w:pPr>
        <w:pStyle w:val="TextosemFormatao"/>
        <w:numPr>
          <w:ilvl w:val="0"/>
          <w:numId w:val="6"/>
        </w:numPr>
        <w:spacing w:after="200"/>
        <w:ind w:left="2268" w:firstLine="0"/>
        <w:jc w:val="both"/>
        <w:rPr>
          <w:rFonts w:ascii="Arial" w:hAnsi="Arial" w:cs="Arial"/>
        </w:rPr>
      </w:pPr>
      <w:r w:rsidRPr="00196F2E">
        <w:rPr>
          <w:rFonts w:ascii="Arial" w:hAnsi="Arial" w:cs="Arial"/>
          <w:u w:val="single"/>
        </w:rPr>
        <w:t>O Reajuste do contrato administrativo, visando à manutenção da equação econômico-financeira da avença, não está sujeito aos percentuais máximos de que trata o art.65, §1</w:t>
      </w:r>
      <w:r w:rsidRPr="00196F2E">
        <w:rPr>
          <w:rFonts w:ascii="Arial" w:hAnsi="Arial" w:cs="Arial"/>
          <w:u w:val="single"/>
          <w:vertAlign w:val="superscript"/>
        </w:rPr>
        <w:t>o</w:t>
      </w:r>
      <w:r w:rsidRPr="00196F2E">
        <w:rPr>
          <w:rFonts w:ascii="Arial" w:hAnsi="Arial" w:cs="Arial"/>
          <w:u w:val="single"/>
        </w:rPr>
        <w:t xml:space="preserve"> da Lei 8.666/93, eis que este dispositivo refere-se às alterações quantitativas do objeto acordado</w:t>
      </w:r>
      <w:r w:rsidRPr="00196F2E">
        <w:rPr>
          <w:rFonts w:ascii="Arial" w:hAnsi="Arial" w:cs="Arial"/>
        </w:rPr>
        <w:t>.</w:t>
      </w:r>
      <w:r>
        <w:rPr>
          <w:rFonts w:ascii="Arial" w:hAnsi="Arial" w:cs="Arial"/>
        </w:rPr>
        <w:t>”</w:t>
      </w:r>
      <w:r>
        <w:rPr>
          <w:rStyle w:val="Refdenotaderodap"/>
          <w:rFonts w:ascii="Arial" w:hAnsi="Arial" w:cs="Arial"/>
        </w:rPr>
        <w:footnoteReference w:id="4"/>
      </w:r>
    </w:p>
    <w:p w:rsidR="0034596E" w:rsidRDefault="00A304C7"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Embora não esteja inserido nos estritos termos da Consulta transcrita, há que se reconhecer que o</w:t>
      </w:r>
      <w:r w:rsidR="0034596E">
        <w:rPr>
          <w:rFonts w:ascii="Arial" w:hAnsi="Arial" w:cs="Arial"/>
          <w:sz w:val="23"/>
          <w:szCs w:val="23"/>
        </w:rPr>
        <w:t xml:space="preserve"> 5º TA segue a mesma lógica</w:t>
      </w:r>
      <w:r w:rsidR="00EC4A7B">
        <w:rPr>
          <w:rFonts w:ascii="Arial" w:hAnsi="Arial" w:cs="Arial"/>
          <w:sz w:val="23"/>
          <w:szCs w:val="23"/>
        </w:rPr>
        <w:t xml:space="preserve">, porquanto não objetiva acrescer </w:t>
      </w:r>
      <w:r w:rsidR="0098793B">
        <w:rPr>
          <w:rFonts w:ascii="Arial" w:hAnsi="Arial" w:cs="Arial"/>
          <w:sz w:val="23"/>
          <w:szCs w:val="23"/>
        </w:rPr>
        <w:t>elementos a</w:t>
      </w:r>
      <w:r w:rsidR="00EC4A7B">
        <w:rPr>
          <w:rFonts w:ascii="Arial" w:hAnsi="Arial" w:cs="Arial"/>
          <w:sz w:val="23"/>
          <w:szCs w:val="23"/>
        </w:rPr>
        <w:t>o objeto contratual</w:t>
      </w:r>
      <w:r w:rsidR="00910A6E">
        <w:rPr>
          <w:rFonts w:ascii="Arial" w:hAnsi="Arial" w:cs="Arial"/>
          <w:sz w:val="23"/>
          <w:szCs w:val="23"/>
        </w:rPr>
        <w:t xml:space="preserve">, mas apenas permitir que, em virtude de situação </w:t>
      </w:r>
      <w:r w:rsidR="00910A6E">
        <w:rPr>
          <w:rFonts w:ascii="Arial" w:hAnsi="Arial" w:cs="Arial"/>
          <w:sz w:val="23"/>
          <w:szCs w:val="23"/>
        </w:rPr>
        <w:lastRenderedPageBreak/>
        <w:t>excepcional, os serviços sejam prestados por mais 12 meses, após o fim do prazo contratual previsto originariamente</w:t>
      </w:r>
      <w:r w:rsidR="0034596E">
        <w:rPr>
          <w:rFonts w:ascii="Arial" w:hAnsi="Arial" w:cs="Arial"/>
          <w:sz w:val="23"/>
          <w:szCs w:val="23"/>
        </w:rPr>
        <w:t>, com o respaldo do art. 57, §4º, da Lei de Licitações.</w:t>
      </w:r>
    </w:p>
    <w:p w:rsidR="00F109A4" w:rsidRDefault="004D3CFD"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Como se está a tratar de prorrogação, em que exatamente o mesmo objeto é prestado, agora por mais um período</w:t>
      </w:r>
      <w:r w:rsidR="00D406FE">
        <w:rPr>
          <w:rFonts w:ascii="Arial" w:hAnsi="Arial" w:cs="Arial"/>
          <w:sz w:val="23"/>
          <w:szCs w:val="23"/>
        </w:rPr>
        <w:t xml:space="preserve"> de um ano</w:t>
      </w:r>
      <w:r>
        <w:rPr>
          <w:rFonts w:ascii="Arial" w:hAnsi="Arial" w:cs="Arial"/>
          <w:sz w:val="23"/>
          <w:szCs w:val="23"/>
        </w:rPr>
        <w:t xml:space="preserve">, </w:t>
      </w:r>
      <w:r w:rsidR="00D406FE">
        <w:rPr>
          <w:rFonts w:ascii="Arial" w:hAnsi="Arial" w:cs="Arial"/>
          <w:sz w:val="23"/>
          <w:szCs w:val="23"/>
        </w:rPr>
        <w:t xml:space="preserve">parece coerente que </w:t>
      </w:r>
      <w:r w:rsidR="00016177">
        <w:rPr>
          <w:rFonts w:ascii="Arial" w:hAnsi="Arial" w:cs="Arial"/>
          <w:sz w:val="23"/>
          <w:szCs w:val="23"/>
        </w:rPr>
        <w:t>o preço constante do TA</w:t>
      </w:r>
      <w:r w:rsidR="00D406FE">
        <w:rPr>
          <w:rFonts w:ascii="Arial" w:hAnsi="Arial" w:cs="Arial"/>
          <w:sz w:val="23"/>
          <w:szCs w:val="23"/>
        </w:rPr>
        <w:t xml:space="preserve"> corresponda, com eventuais correções, ao valor pago nos períodos anteriores, sendo que, para isso, a adstrição aos percentuais do art. 65, §1º, não faz sentido.</w:t>
      </w:r>
    </w:p>
    <w:p w:rsidR="00D406FE" w:rsidRDefault="00862DD3"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A título exemplificativo</w:t>
      </w:r>
      <w:r w:rsidR="00D406FE">
        <w:rPr>
          <w:rFonts w:ascii="Arial" w:hAnsi="Arial" w:cs="Arial"/>
          <w:sz w:val="23"/>
          <w:szCs w:val="23"/>
        </w:rPr>
        <w:t xml:space="preserve">, basta imaginar um contrato celebrado com prazo de 12 meses para a prestação de serviço de natureza contínua, em que, ao final, entenda-se cabível a prorrogação por mais 12 meses, na forma autorizada pelo art. 57, II, do Estatuto Licitatório. </w:t>
      </w:r>
    </w:p>
    <w:p w:rsidR="00D406FE" w:rsidRDefault="00D406FE"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Caso se entenda que o valor decorrente dessa prorrogação, por ser instrumentalizada por termo aditivo, está limitado ao percentual de 25%, inviabilizada estaria a sua celebração, pois não parece crível que qualquer contratado se proponha a prestar exatamente o mesmo serviço, pelo mesmo prazo, por</w:t>
      </w:r>
      <w:r w:rsidR="00706EC0">
        <w:rPr>
          <w:rFonts w:ascii="Arial" w:hAnsi="Arial" w:cs="Arial"/>
          <w:sz w:val="23"/>
          <w:szCs w:val="23"/>
        </w:rPr>
        <w:t xml:space="preserve"> ele recebendo</w:t>
      </w:r>
      <w:r>
        <w:rPr>
          <w:rFonts w:ascii="Arial" w:hAnsi="Arial" w:cs="Arial"/>
          <w:sz w:val="23"/>
          <w:szCs w:val="23"/>
        </w:rPr>
        <w:t xml:space="preserve"> </w:t>
      </w:r>
      <w:r w:rsidR="007869A5">
        <w:rPr>
          <w:rFonts w:ascii="Arial" w:hAnsi="Arial" w:cs="Arial"/>
          <w:sz w:val="23"/>
          <w:szCs w:val="23"/>
        </w:rPr>
        <w:t>¼ (</w:t>
      </w:r>
      <w:r>
        <w:rPr>
          <w:rFonts w:ascii="Arial" w:hAnsi="Arial" w:cs="Arial"/>
          <w:sz w:val="23"/>
          <w:szCs w:val="23"/>
        </w:rPr>
        <w:t>um quarto</w:t>
      </w:r>
      <w:r w:rsidR="007869A5">
        <w:rPr>
          <w:rFonts w:ascii="Arial" w:hAnsi="Arial" w:cs="Arial"/>
          <w:sz w:val="23"/>
          <w:szCs w:val="23"/>
        </w:rPr>
        <w:t>)</w:t>
      </w:r>
      <w:r>
        <w:rPr>
          <w:rFonts w:ascii="Arial" w:hAnsi="Arial" w:cs="Arial"/>
          <w:sz w:val="23"/>
          <w:szCs w:val="23"/>
        </w:rPr>
        <w:t xml:space="preserve"> do valor ajustado um ano antes.</w:t>
      </w:r>
    </w:p>
    <w:p w:rsidR="00F109A4" w:rsidRDefault="007869A5"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Com tais ponderações, </w:t>
      </w:r>
      <w:r w:rsidR="00206EF7" w:rsidRPr="00C37547">
        <w:rPr>
          <w:rFonts w:ascii="Arial" w:hAnsi="Arial" w:cs="Arial"/>
          <w:sz w:val="23"/>
          <w:szCs w:val="23"/>
          <w:u w:val="single"/>
        </w:rPr>
        <w:t xml:space="preserve">entendemos que </w:t>
      </w:r>
      <w:r w:rsidR="00034A2A" w:rsidRPr="00C37547">
        <w:rPr>
          <w:rFonts w:ascii="Arial" w:hAnsi="Arial" w:cs="Arial"/>
          <w:sz w:val="23"/>
          <w:szCs w:val="23"/>
          <w:u w:val="single"/>
        </w:rPr>
        <w:t>o 1º, 2º, 3º, 5º e 6º Termos Aditivos não veicularam acréscimo ao objeto do Contrato nº 205/2006</w:t>
      </w:r>
      <w:r w:rsidR="00B332AE" w:rsidRPr="00C37547">
        <w:rPr>
          <w:rFonts w:ascii="Arial" w:hAnsi="Arial" w:cs="Arial"/>
          <w:sz w:val="23"/>
          <w:szCs w:val="23"/>
          <w:u w:val="single"/>
        </w:rPr>
        <w:t xml:space="preserve"> e, por isso, não </w:t>
      </w:r>
      <w:r w:rsidR="00E26DA2" w:rsidRPr="00C37547">
        <w:rPr>
          <w:rFonts w:ascii="Arial" w:hAnsi="Arial" w:cs="Arial"/>
          <w:sz w:val="23"/>
          <w:szCs w:val="23"/>
          <w:u w:val="single"/>
        </w:rPr>
        <w:t>estão adstritos aos limites para aditamento definidos no art. 65, §1º, da</w:t>
      </w:r>
      <w:r w:rsidR="007905E8" w:rsidRPr="00C37547">
        <w:rPr>
          <w:rFonts w:ascii="Arial" w:hAnsi="Arial" w:cs="Arial"/>
          <w:sz w:val="23"/>
          <w:szCs w:val="23"/>
          <w:u w:val="single"/>
        </w:rPr>
        <w:t xml:space="preserve"> Lei nº 8.666, de 1993</w:t>
      </w:r>
      <w:r w:rsidR="007905E8">
        <w:rPr>
          <w:rFonts w:ascii="Arial" w:hAnsi="Arial" w:cs="Arial"/>
          <w:sz w:val="23"/>
          <w:szCs w:val="23"/>
        </w:rPr>
        <w:t>.</w:t>
      </w:r>
    </w:p>
    <w:p w:rsidR="005F5DAC" w:rsidRPr="00087D6A" w:rsidRDefault="009D21E9"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sidRPr="00660982">
        <w:rPr>
          <w:rFonts w:ascii="Arial" w:hAnsi="Arial" w:cs="Arial"/>
          <w:sz w:val="23"/>
          <w:szCs w:val="23"/>
        </w:rPr>
        <w:t xml:space="preserve">No que toca ao 4º TA, consoante examinado no tópico anterior, embora a justificativa apresentada faça alusão a aumento do volume do serviço prestado, verificou-se que o instrumento não alterou os quantitativos contratados, mas tão somente a contraprestação paga por eles, caracterizando, na realidade, reajuste de preços, </w:t>
      </w:r>
      <w:r w:rsidRPr="00087D6A">
        <w:rPr>
          <w:rFonts w:ascii="Arial" w:hAnsi="Arial" w:cs="Arial"/>
          <w:sz w:val="23"/>
          <w:szCs w:val="23"/>
          <w:u w:val="single"/>
        </w:rPr>
        <w:t>cuja ilegalidade</w:t>
      </w:r>
      <w:r w:rsidR="00660982" w:rsidRPr="00087D6A">
        <w:rPr>
          <w:rFonts w:ascii="Arial" w:hAnsi="Arial" w:cs="Arial"/>
          <w:sz w:val="23"/>
          <w:szCs w:val="23"/>
          <w:u w:val="single"/>
        </w:rPr>
        <w:t xml:space="preserve"> restou reconhecida</w:t>
      </w:r>
      <w:r w:rsidR="00660982" w:rsidRPr="00660982">
        <w:rPr>
          <w:rFonts w:ascii="Arial" w:hAnsi="Arial" w:cs="Arial"/>
          <w:sz w:val="23"/>
          <w:szCs w:val="23"/>
        </w:rPr>
        <w:t xml:space="preserve"> por outras razões. </w:t>
      </w:r>
      <w:r w:rsidR="00660982" w:rsidRPr="00087D6A">
        <w:rPr>
          <w:rFonts w:ascii="Arial" w:hAnsi="Arial" w:cs="Arial"/>
          <w:sz w:val="23"/>
          <w:szCs w:val="23"/>
        </w:rPr>
        <w:t>Não há que se falar, portanto, em aditamento acima dos limites legais</w:t>
      </w:r>
      <w:r w:rsidR="00126617" w:rsidRPr="00087D6A">
        <w:rPr>
          <w:rFonts w:ascii="Arial" w:hAnsi="Arial" w:cs="Arial"/>
          <w:sz w:val="23"/>
          <w:szCs w:val="23"/>
        </w:rPr>
        <w:t xml:space="preserve"> também para o 4º TA</w:t>
      </w:r>
      <w:r w:rsidR="00660982" w:rsidRPr="00087D6A">
        <w:rPr>
          <w:rFonts w:ascii="Arial" w:hAnsi="Arial" w:cs="Arial"/>
          <w:sz w:val="23"/>
          <w:szCs w:val="23"/>
        </w:rPr>
        <w:t>.</w:t>
      </w:r>
    </w:p>
    <w:p w:rsidR="005F5DAC" w:rsidRPr="005F5DAC" w:rsidRDefault="005F5DAC" w:rsidP="005F5DAC">
      <w:pPr>
        <w:pStyle w:val="PargrafodaLista"/>
        <w:numPr>
          <w:ilvl w:val="0"/>
          <w:numId w:val="3"/>
        </w:numPr>
        <w:tabs>
          <w:tab w:val="left" w:pos="1418"/>
        </w:tabs>
        <w:spacing w:after="200" w:line="360" w:lineRule="auto"/>
        <w:jc w:val="both"/>
        <w:rPr>
          <w:rFonts w:ascii="Arial" w:hAnsi="Arial" w:cs="Arial"/>
          <w:sz w:val="23"/>
          <w:szCs w:val="23"/>
        </w:rPr>
      </w:pPr>
      <w:r>
        <w:rPr>
          <w:rFonts w:ascii="Arial" w:hAnsi="Arial" w:cs="Arial"/>
          <w:sz w:val="23"/>
          <w:szCs w:val="23"/>
          <w:u w:val="single"/>
        </w:rPr>
        <w:t>Da subcontratação dos serviços de coleta e transporte de resíduos</w:t>
      </w:r>
    </w:p>
    <w:p w:rsidR="004A3C55" w:rsidRDefault="00812E12"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lastRenderedPageBreak/>
        <w:t xml:space="preserve">O relatório final da CEI também arguiu a irregularidade da subcontratação dos serviços de coleta e transporte de resíduos, tendo como beneficiária a empresa Sterlix Ambiental Tratamento de Resíduos Ltda., </w:t>
      </w:r>
      <w:r w:rsidR="00B1720C">
        <w:rPr>
          <w:rFonts w:ascii="Arial" w:hAnsi="Arial" w:cs="Arial"/>
          <w:sz w:val="23"/>
          <w:szCs w:val="23"/>
        </w:rPr>
        <w:t>estando ausente justificativa ou autorização do Município para a terceirização do objeto.</w:t>
      </w:r>
    </w:p>
    <w:p w:rsidR="00EB61FE" w:rsidRDefault="00421887"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A 4ª CFM, por sua vez, acrescentou que o valor total pago pelo Município às empresas contratadas foi superior</w:t>
      </w:r>
      <w:r w:rsidR="002302F3">
        <w:rPr>
          <w:rFonts w:ascii="Arial" w:hAnsi="Arial" w:cs="Arial"/>
          <w:sz w:val="23"/>
          <w:szCs w:val="23"/>
        </w:rPr>
        <w:t xml:space="preserve"> ao preço constante do contrato, sem a formalização de termo aditivo.</w:t>
      </w:r>
    </w:p>
    <w:p w:rsidR="0095475A" w:rsidRDefault="0024163B"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Em relação à questão atinente à subcontratação do serviço, avaliamos a situação sob prisma diverso do adotado pelo relatório da CEI e pelo exame da Unidade Técnica.</w:t>
      </w:r>
    </w:p>
    <w:p w:rsidR="0024163B" w:rsidRDefault="0024163B"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Isso porque, nessas análises, entendeu-se que a irregularidade </w:t>
      </w:r>
      <w:r w:rsidR="00EA6C17">
        <w:rPr>
          <w:rFonts w:ascii="Arial" w:hAnsi="Arial" w:cs="Arial"/>
          <w:sz w:val="23"/>
          <w:szCs w:val="23"/>
        </w:rPr>
        <w:t>consistiu n</w:t>
      </w:r>
      <w:r>
        <w:rPr>
          <w:rFonts w:ascii="Arial" w:hAnsi="Arial" w:cs="Arial"/>
          <w:sz w:val="23"/>
          <w:szCs w:val="23"/>
        </w:rPr>
        <w:t xml:space="preserve">a simples ausência de ato </w:t>
      </w:r>
      <w:r w:rsidR="00372788">
        <w:rPr>
          <w:rFonts w:ascii="Arial" w:hAnsi="Arial" w:cs="Arial"/>
          <w:sz w:val="23"/>
          <w:szCs w:val="23"/>
        </w:rPr>
        <w:t>d</w:t>
      </w:r>
      <w:r>
        <w:rPr>
          <w:rFonts w:ascii="Arial" w:hAnsi="Arial" w:cs="Arial"/>
          <w:sz w:val="23"/>
          <w:szCs w:val="23"/>
        </w:rPr>
        <w:t xml:space="preserve">e autorização </w:t>
      </w:r>
      <w:r w:rsidR="00372788">
        <w:rPr>
          <w:rFonts w:ascii="Arial" w:hAnsi="Arial" w:cs="Arial"/>
          <w:sz w:val="23"/>
          <w:szCs w:val="23"/>
        </w:rPr>
        <w:t xml:space="preserve">expressa </w:t>
      </w:r>
      <w:r>
        <w:rPr>
          <w:rFonts w:ascii="Arial" w:hAnsi="Arial" w:cs="Arial"/>
          <w:sz w:val="23"/>
          <w:szCs w:val="23"/>
        </w:rPr>
        <w:t xml:space="preserve">da Administração para a subcontratação </w:t>
      </w:r>
      <w:r w:rsidR="00EA6C17">
        <w:rPr>
          <w:rFonts w:ascii="Arial" w:hAnsi="Arial" w:cs="Arial"/>
          <w:sz w:val="23"/>
          <w:szCs w:val="23"/>
        </w:rPr>
        <w:t xml:space="preserve">do serviço, </w:t>
      </w:r>
      <w:r w:rsidR="00695EE5">
        <w:rPr>
          <w:rFonts w:ascii="Arial" w:hAnsi="Arial" w:cs="Arial"/>
          <w:sz w:val="23"/>
          <w:szCs w:val="23"/>
        </w:rPr>
        <w:t xml:space="preserve">em desacordo com o item 12.1.2 do Contrato, </w:t>
      </w:r>
      <w:r w:rsidR="00372788">
        <w:rPr>
          <w:rFonts w:ascii="Arial" w:hAnsi="Arial" w:cs="Arial"/>
          <w:sz w:val="23"/>
          <w:szCs w:val="23"/>
        </w:rPr>
        <w:t>sendo que</w:t>
      </w:r>
      <w:r w:rsidR="00EA6C17">
        <w:rPr>
          <w:rFonts w:ascii="Arial" w:hAnsi="Arial" w:cs="Arial"/>
          <w:sz w:val="23"/>
          <w:szCs w:val="23"/>
        </w:rPr>
        <w:t xml:space="preserve">, em nosso entender, </w:t>
      </w:r>
      <w:r w:rsidR="00372788">
        <w:rPr>
          <w:rFonts w:ascii="Arial" w:hAnsi="Arial" w:cs="Arial"/>
          <w:sz w:val="23"/>
          <w:szCs w:val="23"/>
        </w:rPr>
        <w:t>esse fato constitui formalidade superável</w:t>
      </w:r>
      <w:r w:rsidR="00EA6C17">
        <w:rPr>
          <w:rFonts w:ascii="Arial" w:hAnsi="Arial" w:cs="Arial"/>
          <w:sz w:val="23"/>
          <w:szCs w:val="23"/>
        </w:rPr>
        <w:t>.</w:t>
      </w:r>
    </w:p>
    <w:p w:rsidR="00EA6C17" w:rsidRDefault="00115C34"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Ao condicionar a subcontratação ao crivo do ente público contratante, os instrumentos contratuais</w:t>
      </w:r>
      <w:r w:rsidR="00441D73">
        <w:rPr>
          <w:rFonts w:ascii="Arial" w:hAnsi="Arial" w:cs="Arial"/>
          <w:sz w:val="23"/>
          <w:szCs w:val="23"/>
        </w:rPr>
        <w:t>, na mesma linha adotada pelo art. 72 da Lei nº 8.666, de 1993,</w:t>
      </w:r>
      <w:r>
        <w:rPr>
          <w:rFonts w:ascii="Arial" w:hAnsi="Arial" w:cs="Arial"/>
          <w:sz w:val="23"/>
          <w:szCs w:val="23"/>
        </w:rPr>
        <w:t xml:space="preserve"> têm em vista</w:t>
      </w:r>
      <w:r w:rsidR="00441D73">
        <w:rPr>
          <w:rFonts w:ascii="Arial" w:hAnsi="Arial" w:cs="Arial"/>
          <w:sz w:val="23"/>
          <w:szCs w:val="23"/>
        </w:rPr>
        <w:t xml:space="preserve"> garantir à Administração a oportunidade de avaliar, antes de se operar a cessão da execução, se o subcontratado detém aptidão para a prestação do serviço com a mesma qualidade exigida na especificação do objeto, uma vez que ele não participou da licitação</w:t>
      </w:r>
      <w:r w:rsidR="001745E6">
        <w:rPr>
          <w:rFonts w:ascii="Arial" w:hAnsi="Arial" w:cs="Arial"/>
          <w:sz w:val="23"/>
          <w:szCs w:val="23"/>
        </w:rPr>
        <w:t xml:space="preserve"> e, por isso, não houve oportunidade para </w:t>
      </w:r>
      <w:r w:rsidR="002B5416">
        <w:rPr>
          <w:rFonts w:ascii="Arial" w:hAnsi="Arial" w:cs="Arial"/>
          <w:sz w:val="23"/>
          <w:szCs w:val="23"/>
        </w:rPr>
        <w:t>aferição de</w:t>
      </w:r>
      <w:r w:rsidR="001745E6">
        <w:rPr>
          <w:rFonts w:ascii="Arial" w:hAnsi="Arial" w:cs="Arial"/>
          <w:sz w:val="23"/>
          <w:szCs w:val="23"/>
        </w:rPr>
        <w:t xml:space="preserve"> sua capacidade operacional</w:t>
      </w:r>
      <w:r w:rsidR="00441D73">
        <w:rPr>
          <w:rFonts w:ascii="Arial" w:hAnsi="Arial" w:cs="Arial"/>
          <w:sz w:val="23"/>
          <w:szCs w:val="23"/>
        </w:rPr>
        <w:t>.</w:t>
      </w:r>
    </w:p>
    <w:p w:rsidR="009E5F94" w:rsidRDefault="00E857A3"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No caso em tela, embora inexista ato formal de autorização para a subcontratação, verifica-se dos autos que </w:t>
      </w:r>
      <w:r w:rsidR="0065251D">
        <w:rPr>
          <w:rFonts w:ascii="Arial" w:hAnsi="Arial" w:cs="Arial"/>
          <w:sz w:val="23"/>
          <w:szCs w:val="23"/>
        </w:rPr>
        <w:t>a Prefeitura Municipal de Uberaba realizou pagamentos, à conta do Contrato nº 205/2006, em face de notas fiscais de prestação de serviço pela Sterlix Ambiental Tratamento de Resíduos Ltda., o que</w:t>
      </w:r>
      <w:r w:rsidR="004D3557">
        <w:rPr>
          <w:rFonts w:ascii="Arial" w:hAnsi="Arial" w:cs="Arial"/>
          <w:sz w:val="23"/>
          <w:szCs w:val="23"/>
        </w:rPr>
        <w:t xml:space="preserve"> demonstra a ciência e a anuência com a terceiriz</w:t>
      </w:r>
      <w:r w:rsidR="00A238A8">
        <w:rPr>
          <w:rFonts w:ascii="Arial" w:hAnsi="Arial" w:cs="Arial"/>
          <w:sz w:val="23"/>
          <w:szCs w:val="23"/>
        </w:rPr>
        <w:t>ação do serviço, ainda que não formalizadas.</w:t>
      </w:r>
    </w:p>
    <w:p w:rsidR="00A238A8" w:rsidRPr="00A238A8" w:rsidRDefault="00C57839"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Em situação semelhante, o Tribunal de Contas da União acatou os argumento</w:t>
      </w:r>
      <w:r w:rsidR="00B937D8">
        <w:rPr>
          <w:rFonts w:ascii="Arial" w:hAnsi="Arial" w:cs="Arial"/>
          <w:sz w:val="23"/>
          <w:szCs w:val="23"/>
        </w:rPr>
        <w:t>s dos recursos dos gestores públicos, revendo a sanção antes aplicada com tal fundamento. Eis os excertos do acórdão:</w:t>
      </w:r>
    </w:p>
    <w:p w:rsidR="009E5F94" w:rsidRDefault="00001E0F" w:rsidP="009E5F94">
      <w:pPr>
        <w:tabs>
          <w:tab w:val="left" w:pos="1418"/>
        </w:tabs>
        <w:ind w:left="2268"/>
        <w:jc w:val="both"/>
        <w:rPr>
          <w:rFonts w:ascii="Arial" w:hAnsi="Arial" w:cs="Arial"/>
          <w:bCs/>
          <w:sz w:val="20"/>
          <w:szCs w:val="20"/>
        </w:rPr>
      </w:pPr>
      <w:r>
        <w:rPr>
          <w:rFonts w:ascii="Arial" w:hAnsi="Arial" w:cs="Arial"/>
          <w:bCs/>
          <w:sz w:val="20"/>
          <w:szCs w:val="20"/>
        </w:rPr>
        <w:lastRenderedPageBreak/>
        <w:t>“</w:t>
      </w:r>
      <w:r w:rsidR="009E5F94" w:rsidRPr="009E5F94">
        <w:rPr>
          <w:rFonts w:ascii="Arial" w:hAnsi="Arial" w:cs="Arial"/>
          <w:bCs/>
          <w:sz w:val="20"/>
          <w:szCs w:val="20"/>
        </w:rPr>
        <w:t>[Fiscobras 2009. Pedido de Reexame em Levantamento de Auditoria. Obra do PAC. Subcontratação do autor do projeto básico e sem autorização expressa da contratante. Alegação de que a autorização aconteceu, mas não documentada. Ausência de evidência acerca da participação indireta da subcontratada na licitação das obras. Vinculo entre as empresas formado após a licitação. Acolhimento parcial do recurso. Exclusão da multa]</w:t>
      </w:r>
    </w:p>
    <w:p w:rsidR="009E5F94" w:rsidRDefault="009E5F94" w:rsidP="009E5F94">
      <w:pPr>
        <w:tabs>
          <w:tab w:val="left" w:pos="1418"/>
        </w:tabs>
        <w:ind w:left="2268"/>
        <w:jc w:val="both"/>
        <w:rPr>
          <w:rFonts w:ascii="Arial" w:hAnsi="Arial" w:cs="Arial"/>
          <w:sz w:val="20"/>
          <w:szCs w:val="20"/>
        </w:rPr>
      </w:pPr>
      <w:r w:rsidRPr="009E5F94">
        <w:rPr>
          <w:rFonts w:ascii="Arial" w:hAnsi="Arial" w:cs="Arial"/>
          <w:sz w:val="20"/>
          <w:szCs w:val="20"/>
        </w:rPr>
        <w:t>[VOTO]</w:t>
      </w:r>
    </w:p>
    <w:p w:rsidR="009E5F94" w:rsidRDefault="009E5F94" w:rsidP="009E5F94">
      <w:pPr>
        <w:tabs>
          <w:tab w:val="left" w:pos="1418"/>
        </w:tabs>
        <w:ind w:left="2268"/>
        <w:jc w:val="both"/>
        <w:rPr>
          <w:rFonts w:ascii="Arial" w:hAnsi="Arial" w:cs="Arial"/>
          <w:sz w:val="20"/>
          <w:szCs w:val="20"/>
        </w:rPr>
      </w:pPr>
      <w:r w:rsidRPr="009E5F94">
        <w:rPr>
          <w:rFonts w:ascii="Arial" w:hAnsi="Arial" w:cs="Arial"/>
          <w:sz w:val="20"/>
          <w:szCs w:val="20"/>
        </w:rPr>
        <w:t>Cuidam os autos, originariamente, de relatório de levantamento de auditoria realizado, em 2009, sobre as obras de Esgotamento Sanitário, Drenagem, Pavimentação, Regularização Fundiária para 6.500 famílias no Bairro Nossa Senhora da Apresentação, que constitui projeto integrante do Programa de Trabalho Orçamentário 15.451.1128.10S.0024, cujo título é Apoio à Urbanização de Assentamentos Precários no Estado do Rio Grande do Norte. Tais obras inserem-se no Programa de Aceleração do Crescimento - PAC, enquanto a referida ação fiscalizatória desta Corte integra o Fiscobras 2009 (Acórdão 345/2009-Plenário).</w:t>
      </w:r>
    </w:p>
    <w:p w:rsidR="009E5F94" w:rsidRDefault="009E5F94" w:rsidP="009E5F94">
      <w:pPr>
        <w:tabs>
          <w:tab w:val="left" w:pos="1418"/>
        </w:tabs>
        <w:ind w:left="2268"/>
        <w:jc w:val="both"/>
        <w:rPr>
          <w:rFonts w:ascii="Arial" w:hAnsi="Arial" w:cs="Arial"/>
          <w:sz w:val="20"/>
          <w:szCs w:val="20"/>
        </w:rPr>
      </w:pPr>
      <w:r w:rsidRPr="009E5F94">
        <w:rPr>
          <w:rFonts w:ascii="Arial" w:hAnsi="Arial" w:cs="Arial"/>
          <w:sz w:val="20"/>
          <w:szCs w:val="20"/>
        </w:rPr>
        <w:t>[...]</w:t>
      </w:r>
    </w:p>
    <w:p w:rsidR="009E5F94" w:rsidRDefault="009E5F94" w:rsidP="009E5F94">
      <w:pPr>
        <w:tabs>
          <w:tab w:val="left" w:pos="1418"/>
        </w:tabs>
        <w:ind w:left="2268"/>
        <w:jc w:val="both"/>
        <w:rPr>
          <w:rFonts w:ascii="Arial" w:hAnsi="Arial" w:cs="Arial"/>
          <w:sz w:val="20"/>
          <w:szCs w:val="20"/>
        </w:rPr>
      </w:pPr>
      <w:r w:rsidRPr="009E5F94">
        <w:rPr>
          <w:rFonts w:ascii="Arial" w:hAnsi="Arial" w:cs="Arial"/>
          <w:sz w:val="20"/>
          <w:szCs w:val="20"/>
        </w:rPr>
        <w:t>15. [...]. A primeira [irregularidade] seria a subcontratação da consultora [subcontratada], que foi a responsável pela elaboração do projeto básico da obra, sem autorização expressa da contratante, em descumprimento aos arts. 72 e 78, incisos I e VI, da Lei 8.66/1993. Esses dispositivos preveem a possibilidade de rescisão unilateral do contrato por subcontratação não admitida no edital ou contrato.</w:t>
      </w:r>
    </w:p>
    <w:p w:rsidR="009E5F94" w:rsidRDefault="009E5F94" w:rsidP="009E5F94">
      <w:pPr>
        <w:tabs>
          <w:tab w:val="left" w:pos="1418"/>
        </w:tabs>
        <w:ind w:left="2268"/>
        <w:jc w:val="both"/>
        <w:rPr>
          <w:rFonts w:ascii="Arial" w:hAnsi="Arial" w:cs="Arial"/>
          <w:sz w:val="20"/>
          <w:szCs w:val="20"/>
        </w:rPr>
      </w:pPr>
      <w:r w:rsidRPr="009E5F94">
        <w:rPr>
          <w:rFonts w:ascii="Arial" w:hAnsi="Arial" w:cs="Arial"/>
          <w:sz w:val="20"/>
          <w:szCs w:val="20"/>
        </w:rPr>
        <w:t xml:space="preserve">16. Os responsáveis, em seu recurso, rejeitam a imputação, alegando que a autorização prévia e expressa da subcontratação ocorreu, </w:t>
      </w:r>
      <w:r>
        <w:rPr>
          <w:rFonts w:ascii="Arial" w:hAnsi="Arial" w:cs="Arial"/>
          <w:sz w:val="20"/>
          <w:szCs w:val="20"/>
        </w:rPr>
        <w:t>embora sem registro documental.</w:t>
      </w:r>
    </w:p>
    <w:p w:rsidR="00001E0F" w:rsidRDefault="009E5F94" w:rsidP="009E5F94">
      <w:pPr>
        <w:tabs>
          <w:tab w:val="left" w:pos="1418"/>
        </w:tabs>
        <w:ind w:left="2268"/>
        <w:jc w:val="both"/>
        <w:rPr>
          <w:rFonts w:ascii="Arial" w:hAnsi="Arial" w:cs="Arial"/>
          <w:sz w:val="20"/>
          <w:szCs w:val="20"/>
        </w:rPr>
      </w:pPr>
      <w:r w:rsidRPr="009E5F94">
        <w:rPr>
          <w:rFonts w:ascii="Arial" w:hAnsi="Arial" w:cs="Arial"/>
          <w:sz w:val="20"/>
          <w:szCs w:val="20"/>
        </w:rPr>
        <w:t>[...]</w:t>
      </w:r>
      <w:r w:rsidRPr="009E5F94">
        <w:rPr>
          <w:rFonts w:ascii="Arial" w:hAnsi="Arial" w:cs="Arial"/>
          <w:sz w:val="20"/>
          <w:szCs w:val="20"/>
        </w:rPr>
        <w:br/>
        <w:t>22. Parece-me lógica a presunção de que a administração concordou plenamente com a subcontratação da [subcontratada], uma vez que isso serve a toda conveniência técnica, por considerações subjetivas ligadas à pessoa do autor e, inclusive, de custo, visto que a substituição do projetista, apesar de possível tecnicamente em muitos casos, pode acarretar o refazimento de levantamentos de campo e a alteração dos pressupostos da concepção original. Claro está, também, que se a administração não concordasse com a subcontratação poderia ela rescindir unilateralmente o contrato, como lhe faculta expressamente a lei (art. 78, inciso VI, da Lei 8.666/1993).</w:t>
      </w:r>
    </w:p>
    <w:p w:rsidR="00001E0F" w:rsidRDefault="009E5F94" w:rsidP="009E5F94">
      <w:pPr>
        <w:tabs>
          <w:tab w:val="left" w:pos="1418"/>
        </w:tabs>
        <w:ind w:left="2268"/>
        <w:jc w:val="both"/>
        <w:rPr>
          <w:rFonts w:ascii="Arial" w:hAnsi="Arial" w:cs="Arial"/>
          <w:sz w:val="20"/>
          <w:szCs w:val="20"/>
        </w:rPr>
      </w:pPr>
      <w:r w:rsidRPr="009E5F94">
        <w:rPr>
          <w:rFonts w:ascii="Arial" w:hAnsi="Arial" w:cs="Arial"/>
          <w:sz w:val="20"/>
          <w:szCs w:val="20"/>
        </w:rPr>
        <w:t xml:space="preserve">23. </w:t>
      </w:r>
      <w:r w:rsidRPr="00001E0F">
        <w:rPr>
          <w:rFonts w:ascii="Arial" w:hAnsi="Arial" w:cs="Arial"/>
          <w:sz w:val="20"/>
          <w:szCs w:val="20"/>
          <w:u w:val="single"/>
        </w:rPr>
        <w:t>A crítica da Serur, no sentido de que a autorização deveria revestir a forma escrita, que é a vestimenta por excelência dos atos administrativos, é procedente. Mas a falha patentemente não prova que a administração não autorizou a subcontratação</w:t>
      </w:r>
      <w:r w:rsidRPr="009E5F94">
        <w:rPr>
          <w:rFonts w:ascii="Arial" w:hAnsi="Arial" w:cs="Arial"/>
          <w:sz w:val="20"/>
          <w:szCs w:val="20"/>
        </w:rPr>
        <w:t>. A rigor, todos os atos da contratada dependem do consentimento da administração, que nem sempre expressa sua vontade através de atos formais, pois no mais das vezes não há necessidade de prova da anuência. Repare-se que isso não ocorre no caso de insatisfação com o ato, quando então a comunicação formal se impõe não só para que a vontade administrativa prevaleça (ad substantiam), mas também para fins de prova (ad probationem).</w:t>
      </w:r>
    </w:p>
    <w:p w:rsidR="00001E0F" w:rsidRDefault="009E5F94" w:rsidP="009E5F94">
      <w:pPr>
        <w:tabs>
          <w:tab w:val="left" w:pos="1418"/>
        </w:tabs>
        <w:ind w:left="2268"/>
        <w:jc w:val="both"/>
        <w:rPr>
          <w:rFonts w:ascii="Arial" w:hAnsi="Arial" w:cs="Arial"/>
          <w:sz w:val="20"/>
          <w:szCs w:val="20"/>
        </w:rPr>
      </w:pPr>
      <w:r w:rsidRPr="009E5F94">
        <w:rPr>
          <w:rFonts w:ascii="Arial" w:hAnsi="Arial" w:cs="Arial"/>
          <w:sz w:val="20"/>
          <w:szCs w:val="20"/>
        </w:rPr>
        <w:t>24. Como esses fins inerentes ao requisito da forma não são relevantes no caso em exame, entendo que não há motivos para por em dúvida a afirmação dos responsáveis de que a subcontratação foi perfeitamente admitida pela administração.</w:t>
      </w:r>
    </w:p>
    <w:p w:rsidR="00001E0F" w:rsidRDefault="009E5F94" w:rsidP="009E5F94">
      <w:pPr>
        <w:tabs>
          <w:tab w:val="left" w:pos="1418"/>
        </w:tabs>
        <w:ind w:left="2268"/>
        <w:jc w:val="both"/>
        <w:rPr>
          <w:rFonts w:ascii="Arial" w:hAnsi="Arial" w:cs="Arial"/>
          <w:sz w:val="20"/>
          <w:szCs w:val="20"/>
        </w:rPr>
      </w:pPr>
      <w:r w:rsidRPr="009E5F94">
        <w:rPr>
          <w:rFonts w:ascii="Arial" w:hAnsi="Arial" w:cs="Arial"/>
          <w:sz w:val="20"/>
          <w:szCs w:val="20"/>
        </w:rPr>
        <w:t>[ACÓRDÃO]</w:t>
      </w:r>
      <w:r w:rsidRPr="009E5F94">
        <w:rPr>
          <w:rFonts w:ascii="Arial" w:hAnsi="Arial" w:cs="Arial"/>
          <w:sz w:val="20"/>
          <w:szCs w:val="20"/>
        </w:rPr>
        <w:br/>
        <w:t xml:space="preserve">9.1. com fundamento nos arts. 48, parágrafo único, e 33, da Lei 8.443/1992, conhecer dos pedidos de reexame interpostos pelos recorrentes </w:t>
      </w:r>
      <w:r w:rsidRPr="009E5F94">
        <w:rPr>
          <w:rFonts w:ascii="Arial" w:hAnsi="Arial" w:cs="Arial"/>
          <w:sz w:val="20"/>
          <w:szCs w:val="20"/>
        </w:rPr>
        <w:lastRenderedPageBreak/>
        <w:t>relacionados no subitem 4.1 deste Acórdão, para, no mérito, dar-lhes provimento parcial, de forma a:</w:t>
      </w:r>
    </w:p>
    <w:p w:rsidR="009E5F94" w:rsidRPr="009E5F94" w:rsidRDefault="009E5F94" w:rsidP="00861F21">
      <w:pPr>
        <w:tabs>
          <w:tab w:val="left" w:pos="1418"/>
        </w:tabs>
        <w:spacing w:after="200"/>
        <w:ind w:left="2268"/>
        <w:jc w:val="both"/>
        <w:rPr>
          <w:rFonts w:ascii="Arial" w:hAnsi="Arial" w:cs="Arial"/>
          <w:sz w:val="20"/>
          <w:szCs w:val="20"/>
        </w:rPr>
      </w:pPr>
      <w:r w:rsidRPr="009E5F94">
        <w:rPr>
          <w:rFonts w:ascii="Arial" w:hAnsi="Arial" w:cs="Arial"/>
          <w:sz w:val="20"/>
          <w:szCs w:val="20"/>
        </w:rPr>
        <w:t>9.1.1. tornar insubsistentes os itens 9.2 e 9.3 do Acórdão 497/2010-Plenário, bem como seus respectivos subitens;</w:t>
      </w:r>
      <w:r w:rsidR="00001E0F">
        <w:rPr>
          <w:rFonts w:ascii="Arial" w:hAnsi="Arial" w:cs="Arial"/>
          <w:sz w:val="20"/>
          <w:szCs w:val="20"/>
        </w:rPr>
        <w:t>”</w:t>
      </w:r>
      <w:r w:rsidR="00861F21">
        <w:rPr>
          <w:rStyle w:val="Refdenotaderodap"/>
          <w:rFonts w:ascii="Arial" w:hAnsi="Arial" w:cs="Arial"/>
          <w:sz w:val="20"/>
          <w:szCs w:val="20"/>
        </w:rPr>
        <w:footnoteReference w:id="5"/>
      </w:r>
    </w:p>
    <w:p w:rsidR="00723EBE" w:rsidRDefault="001168C4"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sidRPr="00723EBE">
        <w:rPr>
          <w:rFonts w:ascii="Arial" w:hAnsi="Arial" w:cs="Arial"/>
          <w:sz w:val="23"/>
          <w:szCs w:val="23"/>
        </w:rPr>
        <w:t>Com efeito, embora entenda</w:t>
      </w:r>
      <w:r w:rsidR="006D172E" w:rsidRPr="00723EBE">
        <w:rPr>
          <w:rFonts w:ascii="Arial" w:hAnsi="Arial" w:cs="Arial"/>
          <w:sz w:val="23"/>
          <w:szCs w:val="23"/>
        </w:rPr>
        <w:t>mos</w:t>
      </w:r>
      <w:r w:rsidRPr="00723EBE">
        <w:rPr>
          <w:rFonts w:ascii="Arial" w:hAnsi="Arial" w:cs="Arial"/>
          <w:sz w:val="23"/>
          <w:szCs w:val="23"/>
        </w:rPr>
        <w:t xml:space="preserve"> que a solicitação de subcontratação deva ser formalizada junto ao ente contratante, que, por seu turno, deve autorizá-la ou rejeitá-la por escrito e fundamentadamente</w:t>
      </w:r>
      <w:r w:rsidR="006D172E" w:rsidRPr="00723EBE">
        <w:rPr>
          <w:rFonts w:ascii="Arial" w:hAnsi="Arial" w:cs="Arial"/>
          <w:sz w:val="23"/>
          <w:szCs w:val="23"/>
        </w:rPr>
        <w:t>, no caso concreto é possível extrair a existência de autorização implícita da Administração</w:t>
      </w:r>
      <w:r w:rsidR="00723EBE">
        <w:rPr>
          <w:rFonts w:ascii="Arial" w:hAnsi="Arial" w:cs="Arial"/>
          <w:sz w:val="23"/>
          <w:szCs w:val="23"/>
        </w:rPr>
        <w:t>.</w:t>
      </w:r>
    </w:p>
    <w:p w:rsidR="00081D22" w:rsidRDefault="00723EBE"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sidRPr="00081D22">
        <w:rPr>
          <w:rFonts w:ascii="Arial" w:hAnsi="Arial" w:cs="Arial"/>
          <w:sz w:val="23"/>
          <w:szCs w:val="23"/>
        </w:rPr>
        <w:t>Por essa</w:t>
      </w:r>
      <w:r w:rsidR="00CD19B4" w:rsidRPr="00081D22">
        <w:rPr>
          <w:rFonts w:ascii="Arial" w:hAnsi="Arial" w:cs="Arial"/>
          <w:sz w:val="23"/>
          <w:szCs w:val="23"/>
        </w:rPr>
        <w:t xml:space="preserve"> razão</w:t>
      </w:r>
      <w:r w:rsidRPr="00081D22">
        <w:rPr>
          <w:rFonts w:ascii="Arial" w:hAnsi="Arial" w:cs="Arial"/>
          <w:sz w:val="23"/>
          <w:szCs w:val="23"/>
        </w:rPr>
        <w:t xml:space="preserve">, opinamos pela recomendação </w:t>
      </w:r>
      <w:r w:rsidR="00982074" w:rsidRPr="00081D22">
        <w:rPr>
          <w:rFonts w:ascii="Arial" w:hAnsi="Arial" w:cs="Arial"/>
          <w:sz w:val="23"/>
          <w:szCs w:val="23"/>
        </w:rPr>
        <w:t>ao Prefeito Municipal para que toda e qualquer solicitação de subcontratação parcial seja decidida por escrito e motivadamente, devendo constar do procedimento de acompanhamento da execução contratual</w:t>
      </w:r>
      <w:r w:rsidR="006D172E" w:rsidRPr="00081D22">
        <w:rPr>
          <w:rFonts w:ascii="Arial" w:hAnsi="Arial" w:cs="Arial"/>
          <w:sz w:val="23"/>
          <w:szCs w:val="23"/>
        </w:rPr>
        <w:t>.</w:t>
      </w:r>
      <w:r w:rsidRPr="00081D22">
        <w:rPr>
          <w:rFonts w:ascii="Arial" w:hAnsi="Arial" w:cs="Arial"/>
          <w:sz w:val="23"/>
          <w:szCs w:val="23"/>
        </w:rPr>
        <w:t xml:space="preserve"> </w:t>
      </w:r>
    </w:p>
    <w:p w:rsidR="004A3C55" w:rsidRPr="00081D22" w:rsidRDefault="00C778CC"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sidRPr="00081D22">
        <w:rPr>
          <w:rFonts w:ascii="Arial" w:hAnsi="Arial" w:cs="Arial"/>
          <w:sz w:val="23"/>
          <w:szCs w:val="23"/>
        </w:rPr>
        <w:t xml:space="preserve">Em relação à diferença entre o valor pago e o valor constante do contrato, </w:t>
      </w:r>
      <w:r w:rsidR="00E05497" w:rsidRPr="00081D22">
        <w:rPr>
          <w:rFonts w:ascii="Arial" w:hAnsi="Arial" w:cs="Arial"/>
          <w:sz w:val="23"/>
          <w:szCs w:val="23"/>
        </w:rPr>
        <w:t>observa-se que a análise empreendida pela Unidade Técnica balizou-se apenas na soma dos pagamentos realizados, sem considerar as medições feitas.</w:t>
      </w:r>
    </w:p>
    <w:p w:rsidR="002D768F" w:rsidRPr="002D768F" w:rsidRDefault="00E05497"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sidRPr="002D768F">
        <w:rPr>
          <w:rFonts w:ascii="Arial" w:hAnsi="Arial" w:cs="Arial"/>
          <w:sz w:val="23"/>
          <w:szCs w:val="23"/>
        </w:rPr>
        <w:t>Aqui, insta sublinhar que</w:t>
      </w:r>
      <w:r w:rsidR="002D768F" w:rsidRPr="002D768F">
        <w:rPr>
          <w:rFonts w:ascii="Arial" w:hAnsi="Arial" w:cs="Arial"/>
          <w:sz w:val="23"/>
          <w:szCs w:val="23"/>
        </w:rPr>
        <w:t>, pel</w:t>
      </w:r>
      <w:r w:rsidRPr="002D768F">
        <w:rPr>
          <w:rFonts w:ascii="Arial" w:hAnsi="Arial" w:cs="Arial"/>
          <w:sz w:val="23"/>
          <w:szCs w:val="23"/>
        </w:rPr>
        <w:t>o Contrato nº 205/2006</w:t>
      </w:r>
      <w:r w:rsidR="002D768F" w:rsidRPr="002D768F">
        <w:rPr>
          <w:rFonts w:ascii="Arial" w:hAnsi="Arial" w:cs="Arial"/>
          <w:sz w:val="23"/>
          <w:szCs w:val="23"/>
        </w:rPr>
        <w:t xml:space="preserve">, a empresa contratada se obrigou a prestar a totalidade dos serviços ali descritos, atinentes à coleta e transporte de resíduos e à limpeza urbana, cujos preços foram ajustados e pagos por unidade. Tal medida, aliás, é a que melhor se adéqua ao objeto, posto que, por sua natureza, varia quantitativamente em cada período, o que permite que a Administração pague somente pelo que efetivamente utilizar. </w:t>
      </w:r>
    </w:p>
    <w:p w:rsidR="002D768F" w:rsidRDefault="002D768F"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Dessa forma, o valor devido pela prestação do serviço não corresponde ao valor total </w:t>
      </w:r>
      <w:r w:rsidR="005944C2">
        <w:rPr>
          <w:rFonts w:ascii="Arial" w:hAnsi="Arial" w:cs="Arial"/>
          <w:sz w:val="23"/>
          <w:szCs w:val="23"/>
        </w:rPr>
        <w:t xml:space="preserve">indicado no item 3.19 do Contrato (fl. 4064, vol. 16), que, em seu próprio texto, destaca se tratar de valor global </w:t>
      </w:r>
      <w:r w:rsidR="005944C2" w:rsidRPr="00FB39C4">
        <w:rPr>
          <w:rFonts w:ascii="Arial" w:hAnsi="Arial" w:cs="Arial"/>
          <w:sz w:val="23"/>
          <w:szCs w:val="23"/>
        </w:rPr>
        <w:t>estimado</w:t>
      </w:r>
      <w:r w:rsidR="005944C2">
        <w:rPr>
          <w:rFonts w:ascii="Arial" w:hAnsi="Arial" w:cs="Arial"/>
          <w:sz w:val="23"/>
          <w:szCs w:val="23"/>
        </w:rPr>
        <w:t>, resultante do valor unitário fixado para o serviço multiplicado pelo quantitativo que a Administração espera utilizar.</w:t>
      </w:r>
    </w:p>
    <w:p w:rsidR="00C63FA4" w:rsidRDefault="00C63FA4"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Assim, para se alcançar o valor devido pela prestação dos serviços nos seis anos de vigência do contrato, não basta somar o valor total do contrato com os </w:t>
      </w:r>
      <w:r w:rsidR="002E2FDE">
        <w:rPr>
          <w:rFonts w:ascii="Arial" w:hAnsi="Arial" w:cs="Arial"/>
          <w:sz w:val="23"/>
          <w:szCs w:val="23"/>
        </w:rPr>
        <w:t>25% de acréscimo permitido pela Lei nº 8.666, de 1993</w:t>
      </w:r>
      <w:r w:rsidR="000B6523">
        <w:rPr>
          <w:rFonts w:ascii="Arial" w:hAnsi="Arial" w:cs="Arial"/>
          <w:sz w:val="23"/>
          <w:szCs w:val="23"/>
        </w:rPr>
        <w:t>, como ocorreu no cálculo que figura no</w:t>
      </w:r>
      <w:r w:rsidR="002E2FDE">
        <w:rPr>
          <w:rFonts w:ascii="Arial" w:hAnsi="Arial" w:cs="Arial"/>
          <w:sz w:val="23"/>
          <w:szCs w:val="23"/>
        </w:rPr>
        <w:t>s</w:t>
      </w:r>
      <w:r w:rsidR="000B6523">
        <w:rPr>
          <w:rFonts w:ascii="Arial" w:hAnsi="Arial" w:cs="Arial"/>
          <w:sz w:val="23"/>
          <w:szCs w:val="23"/>
        </w:rPr>
        <w:t xml:space="preserve"> quadro</w:t>
      </w:r>
      <w:r w:rsidR="002E2FDE">
        <w:rPr>
          <w:rFonts w:ascii="Arial" w:hAnsi="Arial" w:cs="Arial"/>
          <w:sz w:val="23"/>
          <w:szCs w:val="23"/>
        </w:rPr>
        <w:t>s</w:t>
      </w:r>
      <w:r w:rsidR="000B6523">
        <w:rPr>
          <w:rFonts w:ascii="Arial" w:hAnsi="Arial" w:cs="Arial"/>
          <w:sz w:val="23"/>
          <w:szCs w:val="23"/>
        </w:rPr>
        <w:t xml:space="preserve"> de fl</w:t>
      </w:r>
      <w:r w:rsidR="002E2FDE">
        <w:rPr>
          <w:rFonts w:ascii="Arial" w:hAnsi="Arial" w:cs="Arial"/>
          <w:sz w:val="23"/>
          <w:szCs w:val="23"/>
        </w:rPr>
        <w:t>s</w:t>
      </w:r>
      <w:r w:rsidR="000B6523">
        <w:rPr>
          <w:rFonts w:ascii="Arial" w:hAnsi="Arial" w:cs="Arial"/>
          <w:sz w:val="23"/>
          <w:szCs w:val="23"/>
        </w:rPr>
        <w:t>. 32656</w:t>
      </w:r>
      <w:r w:rsidR="002E2FDE">
        <w:rPr>
          <w:rFonts w:ascii="Arial" w:hAnsi="Arial" w:cs="Arial"/>
          <w:sz w:val="23"/>
          <w:szCs w:val="23"/>
        </w:rPr>
        <w:t>/32657</w:t>
      </w:r>
      <w:r w:rsidR="000B6523">
        <w:rPr>
          <w:rFonts w:ascii="Arial" w:hAnsi="Arial" w:cs="Arial"/>
          <w:sz w:val="23"/>
          <w:szCs w:val="23"/>
        </w:rPr>
        <w:t xml:space="preserve"> (vol. 112)</w:t>
      </w:r>
      <w:r>
        <w:rPr>
          <w:rFonts w:ascii="Arial" w:hAnsi="Arial" w:cs="Arial"/>
          <w:sz w:val="23"/>
          <w:szCs w:val="23"/>
        </w:rPr>
        <w:t>.</w:t>
      </w:r>
    </w:p>
    <w:p w:rsidR="00C63FA4" w:rsidRDefault="00C63FA4"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lastRenderedPageBreak/>
        <w:t xml:space="preserve">Ao revés, é preciso identificar o quantitativo apurado em cada medição mensal, multiplicar pelos valores unitários constantes dos itens 3.1 a 3.15 do instrumento contratual, observando-se os reajustes ocorridos no período, para enfim chegar </w:t>
      </w:r>
      <w:r w:rsidR="001216B6">
        <w:rPr>
          <w:rFonts w:ascii="Arial" w:hAnsi="Arial" w:cs="Arial"/>
          <w:sz w:val="23"/>
          <w:szCs w:val="23"/>
        </w:rPr>
        <w:t>ao custo real do serviço contratado.</w:t>
      </w:r>
    </w:p>
    <w:p w:rsidR="005944C2" w:rsidRDefault="002E2FDE"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À vista desse juízo, há que se reconhecer que a conclusão técnica acerca de pagamento a maior utilizou, como base de cálculo, valor que não corresponde ao </w:t>
      </w:r>
      <w:r w:rsidR="00A004C4">
        <w:rPr>
          <w:rFonts w:ascii="Arial" w:hAnsi="Arial" w:cs="Arial"/>
          <w:sz w:val="23"/>
          <w:szCs w:val="23"/>
        </w:rPr>
        <w:t>efetivo valor devido pelo serviço, desconsiderando as medições e os reajustes, motivo pelo qual dela discordamos</w:t>
      </w:r>
      <w:r w:rsidR="0041719B">
        <w:rPr>
          <w:rFonts w:ascii="Arial" w:hAnsi="Arial" w:cs="Arial"/>
          <w:sz w:val="23"/>
          <w:szCs w:val="23"/>
        </w:rPr>
        <w:t xml:space="preserve"> no que toca ao pagamento em desacordo com os estabelecidos no contrato e nos aditamentos</w:t>
      </w:r>
      <w:r w:rsidR="00A004C4">
        <w:rPr>
          <w:rFonts w:ascii="Arial" w:hAnsi="Arial" w:cs="Arial"/>
          <w:sz w:val="23"/>
          <w:szCs w:val="23"/>
        </w:rPr>
        <w:t xml:space="preserve">. </w:t>
      </w:r>
    </w:p>
    <w:p w:rsidR="00A004C4" w:rsidRPr="000570CC" w:rsidRDefault="00B51EB3" w:rsidP="00FF323D">
      <w:pPr>
        <w:tabs>
          <w:tab w:val="left" w:pos="1418"/>
        </w:tabs>
        <w:spacing w:after="200" w:line="360" w:lineRule="auto"/>
        <w:jc w:val="both"/>
        <w:rPr>
          <w:rFonts w:ascii="Arial" w:hAnsi="Arial" w:cs="Arial"/>
          <w:b/>
          <w:sz w:val="23"/>
          <w:szCs w:val="23"/>
        </w:rPr>
      </w:pPr>
      <w:r>
        <w:rPr>
          <w:rFonts w:ascii="Arial" w:hAnsi="Arial" w:cs="Arial"/>
          <w:b/>
          <w:sz w:val="23"/>
          <w:szCs w:val="23"/>
        </w:rPr>
        <w:t>Da execução do Contrato</w:t>
      </w:r>
      <w:r w:rsidR="00FA325A">
        <w:rPr>
          <w:rFonts w:ascii="Arial" w:hAnsi="Arial" w:cs="Arial"/>
          <w:b/>
          <w:sz w:val="23"/>
          <w:szCs w:val="23"/>
        </w:rPr>
        <w:t xml:space="preserve"> nº</w:t>
      </w:r>
      <w:r>
        <w:rPr>
          <w:rFonts w:ascii="Arial" w:hAnsi="Arial" w:cs="Arial"/>
          <w:b/>
          <w:sz w:val="23"/>
          <w:szCs w:val="23"/>
        </w:rPr>
        <w:t xml:space="preserve"> 9912266752</w:t>
      </w:r>
      <w:r w:rsidR="00DE3CF3">
        <w:rPr>
          <w:rFonts w:ascii="Arial" w:hAnsi="Arial" w:cs="Arial"/>
          <w:b/>
          <w:sz w:val="23"/>
          <w:szCs w:val="23"/>
        </w:rPr>
        <w:t>/2010</w:t>
      </w:r>
      <w:r>
        <w:rPr>
          <w:rFonts w:ascii="Arial" w:hAnsi="Arial" w:cs="Arial"/>
          <w:b/>
          <w:sz w:val="23"/>
          <w:szCs w:val="23"/>
        </w:rPr>
        <w:t xml:space="preserve">, celebrado com </w:t>
      </w:r>
      <w:r w:rsidR="00DE3CF3">
        <w:rPr>
          <w:rFonts w:ascii="Arial" w:hAnsi="Arial" w:cs="Arial"/>
          <w:b/>
          <w:sz w:val="23"/>
          <w:szCs w:val="23"/>
        </w:rPr>
        <w:t>a ECT</w:t>
      </w:r>
      <w:r>
        <w:rPr>
          <w:rFonts w:ascii="Arial" w:hAnsi="Arial" w:cs="Arial"/>
          <w:b/>
          <w:sz w:val="23"/>
          <w:szCs w:val="23"/>
        </w:rPr>
        <w:t>, para operacionalização dos programas de entrega de medicamentos</w:t>
      </w:r>
    </w:p>
    <w:p w:rsidR="004A3C55" w:rsidRDefault="00BE232D"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O</w:t>
      </w:r>
      <w:r w:rsidR="004F222F">
        <w:rPr>
          <w:rFonts w:ascii="Arial" w:hAnsi="Arial" w:cs="Arial"/>
          <w:sz w:val="23"/>
          <w:szCs w:val="23"/>
        </w:rPr>
        <w:t xml:space="preserve"> relatório final da CEI noticiou</w:t>
      </w:r>
      <w:r>
        <w:rPr>
          <w:rFonts w:ascii="Arial" w:hAnsi="Arial" w:cs="Arial"/>
          <w:sz w:val="23"/>
          <w:szCs w:val="23"/>
        </w:rPr>
        <w:t xml:space="preserve">, ainda, a celebração do </w:t>
      </w:r>
      <w:r w:rsidR="00DE3CF3">
        <w:rPr>
          <w:rFonts w:ascii="Arial" w:hAnsi="Arial" w:cs="Arial"/>
          <w:sz w:val="23"/>
          <w:szCs w:val="23"/>
        </w:rPr>
        <w:t xml:space="preserve">Contrato nº </w:t>
      </w:r>
      <w:r w:rsidR="00FA325A">
        <w:rPr>
          <w:rFonts w:ascii="Arial" w:hAnsi="Arial" w:cs="Arial"/>
          <w:sz w:val="23"/>
          <w:szCs w:val="23"/>
        </w:rPr>
        <w:t>9912266752/2010 entre o Município de Uberaba e a Empresa Brasileira de Correios e Telégrafos (ECT)</w:t>
      </w:r>
      <w:r>
        <w:rPr>
          <w:rFonts w:ascii="Arial" w:hAnsi="Arial" w:cs="Arial"/>
          <w:sz w:val="23"/>
          <w:szCs w:val="23"/>
        </w:rPr>
        <w:t>,</w:t>
      </w:r>
      <w:r w:rsidR="00FA325A">
        <w:rPr>
          <w:rFonts w:ascii="Arial" w:hAnsi="Arial" w:cs="Arial"/>
          <w:sz w:val="23"/>
          <w:szCs w:val="23"/>
        </w:rPr>
        <w:t xml:space="preserve"> com o objetivo de </w:t>
      </w:r>
      <w:r>
        <w:rPr>
          <w:rFonts w:ascii="Arial" w:hAnsi="Arial" w:cs="Arial"/>
          <w:sz w:val="23"/>
          <w:szCs w:val="23"/>
        </w:rPr>
        <w:t>prestar os serviços de recebimento, tratamento (montagem de caixa, etiquetagem, inserção dos medicamentos e fechamento da encomenda), expedição e entrega domiciliária</w:t>
      </w:r>
      <w:r w:rsidR="003A14AB">
        <w:rPr>
          <w:rFonts w:ascii="Arial" w:hAnsi="Arial" w:cs="Arial"/>
          <w:sz w:val="23"/>
          <w:szCs w:val="23"/>
        </w:rPr>
        <w:t xml:space="preserve"> de encomendas contendo exclusivamente medicamentos para os pacientes cadastrados nos programas municipais de saúde.</w:t>
      </w:r>
    </w:p>
    <w:p w:rsidR="00B51EB3" w:rsidRDefault="004F222F"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O referido documento apontou a possibilidade de divergência entre o quantitativo contratado e o extraído da Guia de Operações</w:t>
      </w:r>
      <w:r w:rsidR="00D01747">
        <w:rPr>
          <w:rFonts w:ascii="Arial" w:hAnsi="Arial" w:cs="Arial"/>
          <w:sz w:val="23"/>
          <w:szCs w:val="23"/>
        </w:rPr>
        <w:t>, remetendo aos organismos de controle a análise do fato.</w:t>
      </w:r>
    </w:p>
    <w:p w:rsidR="00EB3754" w:rsidRDefault="0018288B"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A seu turno, a Unidade Técnica concluiu pela improcedência da conclusão da CEI, suscitando, porém, pagamento a maior, decorrente da diferença entre o valor e</w:t>
      </w:r>
      <w:r w:rsidR="0030365B">
        <w:rPr>
          <w:rFonts w:ascii="Arial" w:hAnsi="Arial" w:cs="Arial"/>
          <w:sz w:val="23"/>
          <w:szCs w:val="23"/>
        </w:rPr>
        <w:t>mpenhado e o declarado pela ECT, além da ausência de totalização dos quantitativos entregues.</w:t>
      </w:r>
    </w:p>
    <w:p w:rsidR="00CF03D7" w:rsidRDefault="00CF0777"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No </w:t>
      </w:r>
      <w:r w:rsidR="00CF03D7">
        <w:rPr>
          <w:rFonts w:ascii="Arial" w:hAnsi="Arial" w:cs="Arial"/>
          <w:sz w:val="23"/>
          <w:szCs w:val="23"/>
        </w:rPr>
        <w:t xml:space="preserve">que toca às informações veiculadas </w:t>
      </w:r>
      <w:r w:rsidR="00F412C8">
        <w:rPr>
          <w:rFonts w:ascii="Arial" w:hAnsi="Arial" w:cs="Arial"/>
          <w:sz w:val="23"/>
          <w:szCs w:val="23"/>
        </w:rPr>
        <w:t>no relatório final da</w:t>
      </w:r>
      <w:r w:rsidR="00CF03D7">
        <w:rPr>
          <w:rFonts w:ascii="Arial" w:hAnsi="Arial" w:cs="Arial"/>
          <w:sz w:val="23"/>
          <w:szCs w:val="23"/>
        </w:rPr>
        <w:t xml:space="preserve"> CEI, </w:t>
      </w:r>
      <w:r w:rsidR="005A02FA">
        <w:rPr>
          <w:rFonts w:ascii="Arial" w:hAnsi="Arial" w:cs="Arial"/>
          <w:sz w:val="23"/>
          <w:szCs w:val="23"/>
        </w:rPr>
        <w:t xml:space="preserve">endossamos o entendimento exarado pela Unidade Técnica, no sentido de que a divergência apurada pelos parlamentares </w:t>
      </w:r>
      <w:r w:rsidR="009C1F37">
        <w:rPr>
          <w:rFonts w:ascii="Arial" w:hAnsi="Arial" w:cs="Arial"/>
          <w:sz w:val="23"/>
          <w:szCs w:val="23"/>
        </w:rPr>
        <w:t xml:space="preserve">decorreu de equívoco quanto à frequência do atendimento, </w:t>
      </w:r>
      <w:r w:rsidR="00533149">
        <w:rPr>
          <w:rFonts w:ascii="Arial" w:hAnsi="Arial" w:cs="Arial"/>
          <w:sz w:val="23"/>
          <w:szCs w:val="23"/>
        </w:rPr>
        <w:t>que somente ocorre em dias úteis</w:t>
      </w:r>
      <w:r w:rsidR="00111D5C">
        <w:rPr>
          <w:rFonts w:ascii="Arial" w:hAnsi="Arial" w:cs="Arial"/>
          <w:sz w:val="23"/>
          <w:szCs w:val="23"/>
        </w:rPr>
        <w:t xml:space="preserve">, tendo </w:t>
      </w:r>
      <w:r w:rsidR="00533149">
        <w:rPr>
          <w:rFonts w:ascii="Arial" w:hAnsi="Arial" w:cs="Arial"/>
          <w:sz w:val="23"/>
          <w:szCs w:val="23"/>
        </w:rPr>
        <w:t>a Comissão comput</w:t>
      </w:r>
      <w:r w:rsidR="00111D5C">
        <w:rPr>
          <w:rFonts w:ascii="Arial" w:hAnsi="Arial" w:cs="Arial"/>
          <w:sz w:val="23"/>
          <w:szCs w:val="23"/>
        </w:rPr>
        <w:t>ado</w:t>
      </w:r>
      <w:r w:rsidR="00533149">
        <w:rPr>
          <w:rFonts w:ascii="Arial" w:hAnsi="Arial" w:cs="Arial"/>
          <w:sz w:val="23"/>
          <w:szCs w:val="23"/>
        </w:rPr>
        <w:t xml:space="preserve"> também dias não úteis.</w:t>
      </w:r>
    </w:p>
    <w:p w:rsidR="0030365B" w:rsidRDefault="00D02AAC"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lastRenderedPageBreak/>
        <w:t xml:space="preserve">A imputação da Unidade Técnica, por outro lado, reside no pagamento do valor de R$ 571.655,96, pela execução contratual referente ao ano de 2012, embora a contratada somente tenha emitido nota fiscal em relação ao serviço totalizado em R$ </w:t>
      </w:r>
      <w:r w:rsidR="002145F6">
        <w:rPr>
          <w:rFonts w:ascii="Arial" w:hAnsi="Arial" w:cs="Arial"/>
          <w:sz w:val="23"/>
          <w:szCs w:val="23"/>
        </w:rPr>
        <w:t>332.675,96, restando R$ 238.980,00 sem lastro.</w:t>
      </w:r>
    </w:p>
    <w:p w:rsidR="00D02AAC" w:rsidRPr="005B7E5F" w:rsidRDefault="002145F6"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sidRPr="005B7E5F">
        <w:rPr>
          <w:rFonts w:ascii="Arial" w:hAnsi="Arial" w:cs="Arial"/>
          <w:sz w:val="23"/>
          <w:szCs w:val="23"/>
        </w:rPr>
        <w:t xml:space="preserve">Em </w:t>
      </w:r>
      <w:r w:rsidR="005B7E5F" w:rsidRPr="005B7E5F">
        <w:rPr>
          <w:rFonts w:ascii="Arial" w:hAnsi="Arial" w:cs="Arial"/>
          <w:sz w:val="23"/>
          <w:szCs w:val="23"/>
        </w:rPr>
        <w:t>exame da documentação carreada aos autos, é possível verificar que o referido pagamento fez frente às Notas de Empenho nº 10.135 e 10.170, que, por sua vez, referiam-se a várias notas fiscais emitidas pela ECT, na forma resumida a seguir:</w:t>
      </w:r>
    </w:p>
    <w:tbl>
      <w:tblPr>
        <w:tblStyle w:val="Tabelacomgrade"/>
        <w:tblW w:w="0" w:type="auto"/>
        <w:tblLook w:val="04A0"/>
      </w:tblPr>
      <w:tblGrid>
        <w:gridCol w:w="1842"/>
        <w:gridCol w:w="1842"/>
        <w:gridCol w:w="1842"/>
        <w:gridCol w:w="1842"/>
        <w:gridCol w:w="1843"/>
      </w:tblGrid>
      <w:tr w:rsidR="00A14385" w:rsidRPr="0030365B" w:rsidTr="0030365B">
        <w:tc>
          <w:tcPr>
            <w:tcW w:w="1842" w:type="dxa"/>
          </w:tcPr>
          <w:p w:rsidR="0030365B" w:rsidRPr="0030365B" w:rsidRDefault="0030365B" w:rsidP="0030365B">
            <w:pPr>
              <w:tabs>
                <w:tab w:val="left" w:pos="1418"/>
              </w:tabs>
              <w:spacing w:line="276" w:lineRule="auto"/>
              <w:jc w:val="center"/>
              <w:rPr>
                <w:rFonts w:ascii="Arial" w:hAnsi="Arial" w:cs="Arial"/>
                <w:b/>
                <w:sz w:val="23"/>
                <w:szCs w:val="23"/>
              </w:rPr>
            </w:pPr>
            <w:r>
              <w:rPr>
                <w:rFonts w:ascii="Arial" w:hAnsi="Arial" w:cs="Arial"/>
                <w:b/>
                <w:sz w:val="23"/>
                <w:szCs w:val="23"/>
              </w:rPr>
              <w:t>Nota de empenho</w:t>
            </w:r>
          </w:p>
        </w:tc>
        <w:tc>
          <w:tcPr>
            <w:tcW w:w="1842" w:type="dxa"/>
          </w:tcPr>
          <w:p w:rsidR="0030365B" w:rsidRPr="0030365B" w:rsidRDefault="0030365B" w:rsidP="0030365B">
            <w:pPr>
              <w:tabs>
                <w:tab w:val="left" w:pos="1418"/>
              </w:tabs>
              <w:spacing w:line="276" w:lineRule="auto"/>
              <w:jc w:val="center"/>
              <w:rPr>
                <w:rFonts w:ascii="Arial" w:hAnsi="Arial" w:cs="Arial"/>
                <w:b/>
                <w:sz w:val="23"/>
                <w:szCs w:val="23"/>
              </w:rPr>
            </w:pPr>
            <w:r>
              <w:rPr>
                <w:rFonts w:ascii="Arial" w:hAnsi="Arial" w:cs="Arial"/>
                <w:b/>
                <w:sz w:val="23"/>
                <w:szCs w:val="23"/>
              </w:rPr>
              <w:t>Nota fiscal da contratada</w:t>
            </w:r>
          </w:p>
        </w:tc>
        <w:tc>
          <w:tcPr>
            <w:tcW w:w="1842" w:type="dxa"/>
          </w:tcPr>
          <w:p w:rsidR="00A14385" w:rsidRDefault="00A14385" w:rsidP="00693400">
            <w:pPr>
              <w:tabs>
                <w:tab w:val="left" w:pos="1418"/>
              </w:tabs>
              <w:spacing w:line="276" w:lineRule="auto"/>
              <w:jc w:val="center"/>
              <w:rPr>
                <w:rFonts w:ascii="Arial" w:hAnsi="Arial" w:cs="Arial"/>
                <w:b/>
                <w:sz w:val="23"/>
                <w:szCs w:val="23"/>
              </w:rPr>
            </w:pPr>
            <w:r>
              <w:rPr>
                <w:rFonts w:ascii="Arial" w:hAnsi="Arial" w:cs="Arial"/>
                <w:b/>
                <w:sz w:val="23"/>
                <w:szCs w:val="23"/>
              </w:rPr>
              <w:t>Fls.</w:t>
            </w:r>
          </w:p>
          <w:p w:rsidR="0030365B" w:rsidRPr="00A14385" w:rsidRDefault="00693400" w:rsidP="00693400">
            <w:pPr>
              <w:tabs>
                <w:tab w:val="left" w:pos="1418"/>
              </w:tabs>
              <w:spacing w:line="276" w:lineRule="auto"/>
              <w:jc w:val="center"/>
              <w:rPr>
                <w:rFonts w:ascii="Arial" w:hAnsi="Arial" w:cs="Arial"/>
                <w:b/>
                <w:sz w:val="23"/>
                <w:szCs w:val="23"/>
              </w:rPr>
            </w:pPr>
            <w:r w:rsidRPr="00A14385">
              <w:rPr>
                <w:rFonts w:ascii="Arial" w:hAnsi="Arial" w:cs="Arial"/>
                <w:b/>
                <w:sz w:val="23"/>
                <w:szCs w:val="23"/>
              </w:rPr>
              <w:t xml:space="preserve">Volume </w:t>
            </w:r>
          </w:p>
        </w:tc>
        <w:tc>
          <w:tcPr>
            <w:tcW w:w="1842" w:type="dxa"/>
          </w:tcPr>
          <w:p w:rsidR="0030365B" w:rsidRPr="0030365B" w:rsidRDefault="00171628" w:rsidP="0030365B">
            <w:pPr>
              <w:tabs>
                <w:tab w:val="left" w:pos="1418"/>
              </w:tabs>
              <w:spacing w:line="276" w:lineRule="auto"/>
              <w:jc w:val="center"/>
              <w:rPr>
                <w:rFonts w:ascii="Arial" w:hAnsi="Arial" w:cs="Arial"/>
                <w:b/>
                <w:sz w:val="23"/>
                <w:szCs w:val="23"/>
              </w:rPr>
            </w:pPr>
            <w:r>
              <w:rPr>
                <w:rFonts w:ascii="Arial" w:hAnsi="Arial" w:cs="Arial"/>
                <w:b/>
                <w:sz w:val="23"/>
                <w:szCs w:val="23"/>
              </w:rPr>
              <w:t>Quantitativo</w:t>
            </w:r>
          </w:p>
        </w:tc>
        <w:tc>
          <w:tcPr>
            <w:tcW w:w="1843" w:type="dxa"/>
          </w:tcPr>
          <w:p w:rsidR="0030365B" w:rsidRPr="0030365B" w:rsidRDefault="00693400" w:rsidP="0030365B">
            <w:pPr>
              <w:tabs>
                <w:tab w:val="left" w:pos="1418"/>
              </w:tabs>
              <w:spacing w:line="276" w:lineRule="auto"/>
              <w:jc w:val="center"/>
              <w:rPr>
                <w:rFonts w:ascii="Arial" w:hAnsi="Arial" w:cs="Arial"/>
                <w:b/>
                <w:sz w:val="23"/>
                <w:szCs w:val="23"/>
              </w:rPr>
            </w:pPr>
            <w:r>
              <w:rPr>
                <w:rFonts w:ascii="Arial" w:hAnsi="Arial" w:cs="Arial"/>
                <w:b/>
                <w:sz w:val="23"/>
                <w:szCs w:val="23"/>
              </w:rPr>
              <w:t>Valor</w:t>
            </w:r>
          </w:p>
        </w:tc>
      </w:tr>
      <w:tr w:rsidR="00A14385" w:rsidTr="00693400">
        <w:tc>
          <w:tcPr>
            <w:tcW w:w="1842" w:type="dxa"/>
            <w:vMerge w:val="restart"/>
            <w:vAlign w:val="center"/>
          </w:tcPr>
          <w:p w:rsidR="00CC24CB" w:rsidRDefault="00CC24CB" w:rsidP="00D62C8F">
            <w:pPr>
              <w:tabs>
                <w:tab w:val="left" w:pos="1418"/>
              </w:tabs>
              <w:spacing w:line="276" w:lineRule="auto"/>
              <w:jc w:val="center"/>
              <w:rPr>
                <w:rFonts w:ascii="Arial" w:hAnsi="Arial" w:cs="Arial"/>
                <w:sz w:val="23"/>
                <w:szCs w:val="23"/>
              </w:rPr>
            </w:pPr>
            <w:r>
              <w:rPr>
                <w:rFonts w:ascii="Arial" w:hAnsi="Arial" w:cs="Arial"/>
                <w:sz w:val="23"/>
                <w:szCs w:val="23"/>
              </w:rPr>
              <w:t>10.135</w:t>
            </w:r>
          </w:p>
        </w:tc>
        <w:tc>
          <w:tcPr>
            <w:tcW w:w="1842" w:type="dxa"/>
          </w:tcPr>
          <w:p w:rsidR="00CC24CB" w:rsidRPr="009577F1" w:rsidRDefault="00CC24CB" w:rsidP="00D62C8F">
            <w:pPr>
              <w:tabs>
                <w:tab w:val="left" w:pos="1418"/>
              </w:tabs>
              <w:spacing w:line="276" w:lineRule="auto"/>
              <w:jc w:val="center"/>
              <w:rPr>
                <w:rFonts w:ascii="Arial" w:hAnsi="Arial" w:cs="Arial"/>
                <w:sz w:val="23"/>
                <w:szCs w:val="23"/>
              </w:rPr>
            </w:pPr>
            <w:r w:rsidRPr="009577F1">
              <w:rPr>
                <w:rFonts w:ascii="Arial" w:hAnsi="Arial" w:cs="Arial"/>
                <w:sz w:val="23"/>
                <w:szCs w:val="23"/>
              </w:rPr>
              <w:t>9905020457</w:t>
            </w:r>
            <w:r w:rsidR="00D62C8F" w:rsidRPr="009577F1">
              <w:rPr>
                <w:rFonts w:ascii="Arial" w:hAnsi="Arial" w:cs="Arial"/>
                <w:sz w:val="23"/>
                <w:szCs w:val="23"/>
              </w:rPr>
              <w:t>1</w:t>
            </w:r>
          </w:p>
        </w:tc>
        <w:tc>
          <w:tcPr>
            <w:tcW w:w="1842" w:type="dxa"/>
          </w:tcPr>
          <w:p w:rsidR="00CC24CB" w:rsidRPr="009577F1" w:rsidRDefault="009577F1" w:rsidP="00D62C8F">
            <w:pPr>
              <w:tabs>
                <w:tab w:val="left" w:pos="1418"/>
              </w:tabs>
              <w:spacing w:line="276" w:lineRule="auto"/>
              <w:jc w:val="center"/>
              <w:rPr>
                <w:rFonts w:ascii="Arial" w:hAnsi="Arial" w:cs="Arial"/>
                <w:sz w:val="21"/>
                <w:szCs w:val="21"/>
              </w:rPr>
            </w:pPr>
            <w:r w:rsidRPr="009577F1">
              <w:rPr>
                <w:rFonts w:ascii="Arial" w:hAnsi="Arial" w:cs="Arial"/>
                <w:sz w:val="21"/>
                <w:szCs w:val="21"/>
              </w:rPr>
              <w:t>Fls. 29369/29374</w:t>
            </w:r>
          </w:p>
          <w:p w:rsidR="009577F1" w:rsidRPr="009577F1" w:rsidRDefault="009577F1" w:rsidP="00D62C8F">
            <w:pPr>
              <w:tabs>
                <w:tab w:val="left" w:pos="1418"/>
              </w:tabs>
              <w:spacing w:line="276" w:lineRule="auto"/>
              <w:jc w:val="center"/>
              <w:rPr>
                <w:rFonts w:ascii="Arial" w:hAnsi="Arial" w:cs="Arial"/>
                <w:sz w:val="21"/>
                <w:szCs w:val="21"/>
              </w:rPr>
            </w:pPr>
            <w:r w:rsidRPr="009577F1">
              <w:rPr>
                <w:rFonts w:ascii="Arial" w:hAnsi="Arial" w:cs="Arial"/>
                <w:sz w:val="21"/>
                <w:szCs w:val="21"/>
              </w:rPr>
              <w:t>Vol. 101</w:t>
            </w:r>
          </w:p>
        </w:tc>
        <w:tc>
          <w:tcPr>
            <w:tcW w:w="1842" w:type="dxa"/>
          </w:tcPr>
          <w:p w:rsidR="00CC24CB" w:rsidRPr="009577F1" w:rsidRDefault="009577F1" w:rsidP="009577F1">
            <w:pPr>
              <w:tabs>
                <w:tab w:val="left" w:pos="1418"/>
              </w:tabs>
              <w:spacing w:line="276" w:lineRule="auto"/>
              <w:jc w:val="center"/>
              <w:rPr>
                <w:rFonts w:ascii="Arial" w:hAnsi="Arial" w:cs="Arial"/>
                <w:sz w:val="23"/>
                <w:szCs w:val="23"/>
              </w:rPr>
            </w:pPr>
            <w:r>
              <w:rPr>
                <w:rFonts w:ascii="Arial" w:hAnsi="Arial" w:cs="Arial"/>
                <w:sz w:val="23"/>
                <w:szCs w:val="23"/>
              </w:rPr>
              <w:t>Não totalizado</w:t>
            </w:r>
          </w:p>
        </w:tc>
        <w:tc>
          <w:tcPr>
            <w:tcW w:w="1843" w:type="dxa"/>
          </w:tcPr>
          <w:p w:rsidR="00CC24CB" w:rsidRDefault="00D62C8F" w:rsidP="00D62C8F">
            <w:pPr>
              <w:tabs>
                <w:tab w:val="left" w:pos="1386"/>
                <w:tab w:val="left" w:pos="1418"/>
              </w:tabs>
              <w:spacing w:line="276" w:lineRule="auto"/>
              <w:jc w:val="center"/>
              <w:rPr>
                <w:rFonts w:ascii="Arial" w:hAnsi="Arial" w:cs="Arial"/>
                <w:sz w:val="23"/>
                <w:szCs w:val="23"/>
              </w:rPr>
            </w:pPr>
            <w:r>
              <w:rPr>
                <w:rFonts w:ascii="Arial" w:hAnsi="Arial" w:cs="Arial"/>
                <w:sz w:val="23"/>
                <w:szCs w:val="23"/>
              </w:rPr>
              <w:t>R$ 40.701,10</w:t>
            </w:r>
          </w:p>
        </w:tc>
      </w:tr>
      <w:tr w:rsidR="00A14385" w:rsidTr="0030365B">
        <w:tc>
          <w:tcPr>
            <w:tcW w:w="1842" w:type="dxa"/>
            <w:vMerge/>
          </w:tcPr>
          <w:p w:rsidR="00CC24CB" w:rsidRDefault="00CC24CB" w:rsidP="00D62C8F">
            <w:pPr>
              <w:tabs>
                <w:tab w:val="left" w:pos="1418"/>
              </w:tabs>
              <w:spacing w:line="276" w:lineRule="auto"/>
              <w:jc w:val="center"/>
              <w:rPr>
                <w:rFonts w:ascii="Arial" w:hAnsi="Arial" w:cs="Arial"/>
                <w:sz w:val="23"/>
                <w:szCs w:val="23"/>
              </w:rPr>
            </w:pPr>
          </w:p>
        </w:tc>
        <w:tc>
          <w:tcPr>
            <w:tcW w:w="1842" w:type="dxa"/>
          </w:tcPr>
          <w:p w:rsidR="00CC24CB" w:rsidRPr="009577F1" w:rsidRDefault="00CC24CB" w:rsidP="00D62C8F">
            <w:pPr>
              <w:tabs>
                <w:tab w:val="left" w:pos="1418"/>
              </w:tabs>
              <w:spacing w:line="276" w:lineRule="auto"/>
              <w:jc w:val="center"/>
              <w:rPr>
                <w:rFonts w:ascii="Arial" w:hAnsi="Arial" w:cs="Arial"/>
                <w:sz w:val="23"/>
                <w:szCs w:val="23"/>
              </w:rPr>
            </w:pPr>
            <w:r w:rsidRPr="009577F1">
              <w:rPr>
                <w:rFonts w:ascii="Arial" w:hAnsi="Arial" w:cs="Arial"/>
                <w:sz w:val="23"/>
                <w:szCs w:val="23"/>
              </w:rPr>
              <w:t>99020066707</w:t>
            </w:r>
          </w:p>
        </w:tc>
        <w:tc>
          <w:tcPr>
            <w:tcW w:w="1842" w:type="dxa"/>
          </w:tcPr>
          <w:p w:rsidR="00CC24CB" w:rsidRPr="009577F1" w:rsidRDefault="00A14385" w:rsidP="00D62C8F">
            <w:pPr>
              <w:tabs>
                <w:tab w:val="left" w:pos="1418"/>
              </w:tabs>
              <w:spacing w:line="276" w:lineRule="auto"/>
              <w:jc w:val="center"/>
              <w:rPr>
                <w:rFonts w:ascii="Arial" w:hAnsi="Arial" w:cs="Arial"/>
                <w:sz w:val="21"/>
                <w:szCs w:val="21"/>
              </w:rPr>
            </w:pPr>
            <w:r w:rsidRPr="009577F1">
              <w:rPr>
                <w:rFonts w:ascii="Arial" w:hAnsi="Arial" w:cs="Arial"/>
                <w:sz w:val="21"/>
                <w:szCs w:val="21"/>
              </w:rPr>
              <w:t>Fls. 29333/29340</w:t>
            </w:r>
          </w:p>
          <w:p w:rsidR="00A14385" w:rsidRPr="009577F1" w:rsidRDefault="00A14385" w:rsidP="00D62C8F">
            <w:pPr>
              <w:tabs>
                <w:tab w:val="left" w:pos="1418"/>
              </w:tabs>
              <w:spacing w:line="276" w:lineRule="auto"/>
              <w:jc w:val="center"/>
              <w:rPr>
                <w:rFonts w:ascii="Arial" w:hAnsi="Arial" w:cs="Arial"/>
                <w:sz w:val="21"/>
                <w:szCs w:val="21"/>
              </w:rPr>
            </w:pPr>
            <w:r w:rsidRPr="009577F1">
              <w:rPr>
                <w:rFonts w:ascii="Arial" w:hAnsi="Arial" w:cs="Arial"/>
                <w:sz w:val="21"/>
                <w:szCs w:val="21"/>
              </w:rPr>
              <w:t>Vol. 101</w:t>
            </w:r>
          </w:p>
        </w:tc>
        <w:tc>
          <w:tcPr>
            <w:tcW w:w="1842" w:type="dxa"/>
          </w:tcPr>
          <w:p w:rsidR="00CC24CB" w:rsidRPr="009577F1" w:rsidRDefault="009577F1" w:rsidP="009577F1">
            <w:pPr>
              <w:tabs>
                <w:tab w:val="left" w:pos="1418"/>
              </w:tabs>
              <w:spacing w:line="276" w:lineRule="auto"/>
              <w:jc w:val="center"/>
              <w:rPr>
                <w:rFonts w:ascii="Arial" w:hAnsi="Arial" w:cs="Arial"/>
                <w:sz w:val="23"/>
                <w:szCs w:val="23"/>
              </w:rPr>
            </w:pPr>
            <w:r>
              <w:rPr>
                <w:rFonts w:ascii="Arial" w:hAnsi="Arial" w:cs="Arial"/>
                <w:sz w:val="23"/>
                <w:szCs w:val="23"/>
              </w:rPr>
              <w:t>Não totalizado</w:t>
            </w:r>
          </w:p>
        </w:tc>
        <w:tc>
          <w:tcPr>
            <w:tcW w:w="1843" w:type="dxa"/>
          </w:tcPr>
          <w:p w:rsidR="00CC24CB" w:rsidRDefault="00D62C8F" w:rsidP="00D62C8F">
            <w:pPr>
              <w:tabs>
                <w:tab w:val="left" w:pos="1418"/>
              </w:tabs>
              <w:spacing w:line="276" w:lineRule="auto"/>
              <w:jc w:val="center"/>
              <w:rPr>
                <w:rFonts w:ascii="Arial" w:hAnsi="Arial" w:cs="Arial"/>
                <w:sz w:val="23"/>
                <w:szCs w:val="23"/>
              </w:rPr>
            </w:pPr>
            <w:r>
              <w:rPr>
                <w:rFonts w:ascii="Arial" w:hAnsi="Arial" w:cs="Arial"/>
                <w:sz w:val="23"/>
                <w:szCs w:val="23"/>
              </w:rPr>
              <w:t xml:space="preserve">R$ </w:t>
            </w:r>
            <w:r w:rsidR="00DE4DF0">
              <w:rPr>
                <w:rFonts w:ascii="Arial" w:hAnsi="Arial" w:cs="Arial"/>
                <w:sz w:val="23"/>
                <w:szCs w:val="23"/>
              </w:rPr>
              <w:t>57.159,00</w:t>
            </w:r>
          </w:p>
        </w:tc>
      </w:tr>
      <w:tr w:rsidR="00A14385" w:rsidTr="0030365B">
        <w:tc>
          <w:tcPr>
            <w:tcW w:w="1842" w:type="dxa"/>
            <w:vMerge/>
          </w:tcPr>
          <w:p w:rsidR="00CC24CB" w:rsidRDefault="00CC24CB" w:rsidP="00D62C8F">
            <w:pPr>
              <w:tabs>
                <w:tab w:val="left" w:pos="1418"/>
              </w:tabs>
              <w:spacing w:line="276" w:lineRule="auto"/>
              <w:jc w:val="center"/>
              <w:rPr>
                <w:rFonts w:ascii="Arial" w:hAnsi="Arial" w:cs="Arial"/>
                <w:sz w:val="23"/>
                <w:szCs w:val="23"/>
              </w:rPr>
            </w:pPr>
          </w:p>
        </w:tc>
        <w:tc>
          <w:tcPr>
            <w:tcW w:w="1842" w:type="dxa"/>
          </w:tcPr>
          <w:p w:rsidR="00CC24CB" w:rsidRPr="009577F1" w:rsidRDefault="00CC24CB" w:rsidP="00D62C8F">
            <w:pPr>
              <w:tabs>
                <w:tab w:val="left" w:pos="1418"/>
              </w:tabs>
              <w:spacing w:line="276" w:lineRule="auto"/>
              <w:jc w:val="center"/>
              <w:rPr>
                <w:rFonts w:ascii="Arial" w:hAnsi="Arial" w:cs="Arial"/>
                <w:sz w:val="23"/>
                <w:szCs w:val="23"/>
              </w:rPr>
            </w:pPr>
            <w:r w:rsidRPr="009577F1">
              <w:rPr>
                <w:rFonts w:ascii="Arial" w:hAnsi="Arial" w:cs="Arial"/>
                <w:sz w:val="23"/>
                <w:szCs w:val="23"/>
              </w:rPr>
              <w:t>99030057492</w:t>
            </w:r>
          </w:p>
        </w:tc>
        <w:tc>
          <w:tcPr>
            <w:tcW w:w="1842" w:type="dxa"/>
          </w:tcPr>
          <w:p w:rsidR="00CC24CB" w:rsidRPr="009577F1" w:rsidRDefault="00A14385" w:rsidP="00D62C8F">
            <w:pPr>
              <w:tabs>
                <w:tab w:val="left" w:pos="1418"/>
              </w:tabs>
              <w:spacing w:line="276" w:lineRule="auto"/>
              <w:jc w:val="center"/>
              <w:rPr>
                <w:rFonts w:ascii="Arial" w:hAnsi="Arial" w:cs="Arial"/>
                <w:sz w:val="21"/>
                <w:szCs w:val="21"/>
              </w:rPr>
            </w:pPr>
            <w:r w:rsidRPr="009577F1">
              <w:rPr>
                <w:rFonts w:ascii="Arial" w:hAnsi="Arial" w:cs="Arial"/>
                <w:sz w:val="21"/>
                <w:szCs w:val="21"/>
              </w:rPr>
              <w:t>Fls. 29324/29330</w:t>
            </w:r>
          </w:p>
          <w:p w:rsidR="00A14385" w:rsidRPr="009577F1" w:rsidRDefault="00A14385" w:rsidP="00A14385">
            <w:pPr>
              <w:tabs>
                <w:tab w:val="left" w:pos="1418"/>
              </w:tabs>
              <w:spacing w:line="276" w:lineRule="auto"/>
              <w:jc w:val="center"/>
              <w:rPr>
                <w:rFonts w:ascii="Arial" w:hAnsi="Arial" w:cs="Arial"/>
                <w:sz w:val="21"/>
                <w:szCs w:val="21"/>
              </w:rPr>
            </w:pPr>
            <w:r w:rsidRPr="009577F1">
              <w:rPr>
                <w:rFonts w:ascii="Arial" w:hAnsi="Arial" w:cs="Arial"/>
                <w:sz w:val="21"/>
                <w:szCs w:val="21"/>
              </w:rPr>
              <w:t>Vol. 101</w:t>
            </w:r>
          </w:p>
        </w:tc>
        <w:tc>
          <w:tcPr>
            <w:tcW w:w="1842" w:type="dxa"/>
          </w:tcPr>
          <w:p w:rsidR="00CC24CB" w:rsidRPr="009577F1" w:rsidRDefault="009577F1" w:rsidP="009577F1">
            <w:pPr>
              <w:tabs>
                <w:tab w:val="left" w:pos="1418"/>
              </w:tabs>
              <w:spacing w:line="276" w:lineRule="auto"/>
              <w:jc w:val="center"/>
              <w:rPr>
                <w:rFonts w:ascii="Arial" w:hAnsi="Arial" w:cs="Arial"/>
                <w:sz w:val="23"/>
                <w:szCs w:val="23"/>
              </w:rPr>
            </w:pPr>
            <w:r>
              <w:rPr>
                <w:rFonts w:ascii="Arial" w:hAnsi="Arial" w:cs="Arial"/>
                <w:sz w:val="23"/>
                <w:szCs w:val="23"/>
              </w:rPr>
              <w:t>Não totalizado</w:t>
            </w:r>
          </w:p>
        </w:tc>
        <w:tc>
          <w:tcPr>
            <w:tcW w:w="1843" w:type="dxa"/>
          </w:tcPr>
          <w:p w:rsidR="00CC24CB" w:rsidRDefault="00D62C8F" w:rsidP="00D62C8F">
            <w:pPr>
              <w:tabs>
                <w:tab w:val="left" w:pos="1418"/>
              </w:tabs>
              <w:spacing w:line="276" w:lineRule="auto"/>
              <w:jc w:val="center"/>
              <w:rPr>
                <w:rFonts w:ascii="Arial" w:hAnsi="Arial" w:cs="Arial"/>
                <w:sz w:val="23"/>
                <w:szCs w:val="23"/>
              </w:rPr>
            </w:pPr>
            <w:r>
              <w:rPr>
                <w:rFonts w:ascii="Arial" w:hAnsi="Arial" w:cs="Arial"/>
                <w:sz w:val="23"/>
                <w:szCs w:val="23"/>
              </w:rPr>
              <w:t>R$</w:t>
            </w:r>
            <w:r w:rsidR="006D78B6">
              <w:rPr>
                <w:rFonts w:ascii="Arial" w:hAnsi="Arial" w:cs="Arial"/>
                <w:sz w:val="23"/>
                <w:szCs w:val="23"/>
              </w:rPr>
              <w:t xml:space="preserve"> 39.674,20</w:t>
            </w:r>
          </w:p>
        </w:tc>
      </w:tr>
      <w:tr w:rsidR="00A14385" w:rsidTr="0030365B">
        <w:tc>
          <w:tcPr>
            <w:tcW w:w="1842" w:type="dxa"/>
            <w:vMerge/>
          </w:tcPr>
          <w:p w:rsidR="00CC24CB" w:rsidRDefault="00CC24CB" w:rsidP="00D62C8F">
            <w:pPr>
              <w:tabs>
                <w:tab w:val="left" w:pos="1418"/>
              </w:tabs>
              <w:spacing w:line="276" w:lineRule="auto"/>
              <w:jc w:val="center"/>
              <w:rPr>
                <w:rFonts w:ascii="Arial" w:hAnsi="Arial" w:cs="Arial"/>
                <w:sz w:val="23"/>
                <w:szCs w:val="23"/>
              </w:rPr>
            </w:pPr>
          </w:p>
        </w:tc>
        <w:tc>
          <w:tcPr>
            <w:tcW w:w="1842" w:type="dxa"/>
          </w:tcPr>
          <w:p w:rsidR="00CC24CB" w:rsidRPr="009577F1" w:rsidRDefault="00CC24CB" w:rsidP="00D62C8F">
            <w:pPr>
              <w:tabs>
                <w:tab w:val="left" w:pos="1418"/>
              </w:tabs>
              <w:spacing w:line="276" w:lineRule="auto"/>
              <w:jc w:val="center"/>
              <w:rPr>
                <w:rFonts w:ascii="Arial" w:hAnsi="Arial" w:cs="Arial"/>
                <w:sz w:val="23"/>
                <w:szCs w:val="23"/>
              </w:rPr>
            </w:pPr>
            <w:r w:rsidRPr="009577F1">
              <w:rPr>
                <w:rFonts w:ascii="Arial" w:hAnsi="Arial" w:cs="Arial"/>
                <w:sz w:val="23"/>
                <w:szCs w:val="23"/>
              </w:rPr>
              <w:t>99040134007</w:t>
            </w:r>
          </w:p>
        </w:tc>
        <w:tc>
          <w:tcPr>
            <w:tcW w:w="1842" w:type="dxa"/>
          </w:tcPr>
          <w:p w:rsidR="00CC24CB" w:rsidRPr="009577F1" w:rsidRDefault="00A14385" w:rsidP="00D62C8F">
            <w:pPr>
              <w:tabs>
                <w:tab w:val="left" w:pos="1418"/>
              </w:tabs>
              <w:spacing w:line="276" w:lineRule="auto"/>
              <w:jc w:val="center"/>
              <w:rPr>
                <w:rFonts w:ascii="Arial" w:hAnsi="Arial" w:cs="Arial"/>
                <w:sz w:val="21"/>
                <w:szCs w:val="21"/>
              </w:rPr>
            </w:pPr>
            <w:r w:rsidRPr="009577F1">
              <w:rPr>
                <w:rFonts w:ascii="Arial" w:hAnsi="Arial" w:cs="Arial"/>
                <w:sz w:val="21"/>
                <w:szCs w:val="21"/>
              </w:rPr>
              <w:t>Fls. 29316/29323</w:t>
            </w:r>
          </w:p>
          <w:p w:rsidR="00A14385" w:rsidRPr="009577F1" w:rsidRDefault="00A14385" w:rsidP="00D62C8F">
            <w:pPr>
              <w:tabs>
                <w:tab w:val="left" w:pos="1418"/>
              </w:tabs>
              <w:spacing w:line="276" w:lineRule="auto"/>
              <w:jc w:val="center"/>
              <w:rPr>
                <w:rFonts w:ascii="Arial" w:hAnsi="Arial" w:cs="Arial"/>
                <w:sz w:val="21"/>
                <w:szCs w:val="21"/>
              </w:rPr>
            </w:pPr>
            <w:r w:rsidRPr="009577F1">
              <w:rPr>
                <w:rFonts w:ascii="Arial" w:hAnsi="Arial" w:cs="Arial"/>
                <w:sz w:val="21"/>
                <w:szCs w:val="21"/>
              </w:rPr>
              <w:t>Vol. 101</w:t>
            </w:r>
          </w:p>
        </w:tc>
        <w:tc>
          <w:tcPr>
            <w:tcW w:w="1842" w:type="dxa"/>
          </w:tcPr>
          <w:p w:rsidR="00CC24CB" w:rsidRPr="009577F1" w:rsidRDefault="009577F1" w:rsidP="009577F1">
            <w:pPr>
              <w:tabs>
                <w:tab w:val="left" w:pos="1418"/>
              </w:tabs>
              <w:spacing w:line="276" w:lineRule="auto"/>
              <w:jc w:val="center"/>
              <w:rPr>
                <w:rFonts w:ascii="Arial" w:hAnsi="Arial" w:cs="Arial"/>
                <w:sz w:val="23"/>
                <w:szCs w:val="23"/>
              </w:rPr>
            </w:pPr>
            <w:r>
              <w:rPr>
                <w:rFonts w:ascii="Arial" w:hAnsi="Arial" w:cs="Arial"/>
                <w:sz w:val="23"/>
                <w:szCs w:val="23"/>
              </w:rPr>
              <w:t>Não totalizado</w:t>
            </w:r>
          </w:p>
        </w:tc>
        <w:tc>
          <w:tcPr>
            <w:tcW w:w="1843" w:type="dxa"/>
          </w:tcPr>
          <w:p w:rsidR="00CC24CB" w:rsidRDefault="00D62C8F" w:rsidP="00D62C8F">
            <w:pPr>
              <w:tabs>
                <w:tab w:val="left" w:pos="1418"/>
              </w:tabs>
              <w:spacing w:line="276" w:lineRule="auto"/>
              <w:jc w:val="center"/>
              <w:rPr>
                <w:rFonts w:ascii="Arial" w:hAnsi="Arial" w:cs="Arial"/>
                <w:sz w:val="23"/>
                <w:szCs w:val="23"/>
              </w:rPr>
            </w:pPr>
            <w:r>
              <w:rPr>
                <w:rFonts w:ascii="Arial" w:hAnsi="Arial" w:cs="Arial"/>
                <w:sz w:val="23"/>
                <w:szCs w:val="23"/>
              </w:rPr>
              <w:t>R$</w:t>
            </w:r>
            <w:r w:rsidR="006D78B6">
              <w:rPr>
                <w:rFonts w:ascii="Arial" w:hAnsi="Arial" w:cs="Arial"/>
                <w:sz w:val="23"/>
                <w:szCs w:val="23"/>
              </w:rPr>
              <w:t xml:space="preserve"> 25.398,66</w:t>
            </w:r>
          </w:p>
        </w:tc>
      </w:tr>
      <w:tr w:rsidR="00CC24CB" w:rsidTr="00A14385">
        <w:tc>
          <w:tcPr>
            <w:tcW w:w="1842" w:type="dxa"/>
            <w:vMerge/>
          </w:tcPr>
          <w:p w:rsidR="00CC24CB" w:rsidRDefault="00CC24CB" w:rsidP="0030365B">
            <w:pPr>
              <w:tabs>
                <w:tab w:val="left" w:pos="1418"/>
              </w:tabs>
              <w:spacing w:line="276" w:lineRule="auto"/>
              <w:jc w:val="center"/>
              <w:rPr>
                <w:rFonts w:ascii="Arial" w:hAnsi="Arial" w:cs="Arial"/>
                <w:sz w:val="23"/>
                <w:szCs w:val="23"/>
              </w:rPr>
            </w:pPr>
          </w:p>
        </w:tc>
        <w:tc>
          <w:tcPr>
            <w:tcW w:w="5526" w:type="dxa"/>
            <w:gridSpan w:val="3"/>
          </w:tcPr>
          <w:p w:rsidR="00CC24CB" w:rsidRPr="009577F1" w:rsidRDefault="00CC24CB" w:rsidP="00CC24CB">
            <w:pPr>
              <w:tabs>
                <w:tab w:val="left" w:pos="1418"/>
              </w:tabs>
              <w:spacing w:line="276" w:lineRule="auto"/>
              <w:jc w:val="right"/>
              <w:rPr>
                <w:rFonts w:ascii="Arial" w:hAnsi="Arial" w:cs="Arial"/>
                <w:b/>
                <w:sz w:val="23"/>
                <w:szCs w:val="23"/>
              </w:rPr>
            </w:pPr>
            <w:r w:rsidRPr="009577F1">
              <w:rPr>
                <w:rFonts w:ascii="Arial" w:hAnsi="Arial" w:cs="Arial"/>
                <w:b/>
                <w:sz w:val="23"/>
                <w:szCs w:val="23"/>
              </w:rPr>
              <w:t>Subtotal</w:t>
            </w:r>
          </w:p>
        </w:tc>
        <w:tc>
          <w:tcPr>
            <w:tcW w:w="1843" w:type="dxa"/>
          </w:tcPr>
          <w:p w:rsidR="00CC24CB" w:rsidRPr="00CC24CB" w:rsidRDefault="00CC24CB" w:rsidP="0030365B">
            <w:pPr>
              <w:tabs>
                <w:tab w:val="left" w:pos="1418"/>
              </w:tabs>
              <w:spacing w:line="276" w:lineRule="auto"/>
              <w:jc w:val="center"/>
              <w:rPr>
                <w:rFonts w:ascii="Arial" w:hAnsi="Arial" w:cs="Arial"/>
                <w:b/>
                <w:sz w:val="23"/>
                <w:szCs w:val="23"/>
              </w:rPr>
            </w:pPr>
            <w:r>
              <w:rPr>
                <w:rFonts w:ascii="Arial" w:hAnsi="Arial" w:cs="Arial"/>
                <w:b/>
                <w:sz w:val="23"/>
                <w:szCs w:val="23"/>
              </w:rPr>
              <w:t>R$ 162.932,96</w:t>
            </w:r>
          </w:p>
        </w:tc>
      </w:tr>
      <w:tr w:rsidR="00A14385" w:rsidTr="00A14385">
        <w:tc>
          <w:tcPr>
            <w:tcW w:w="1842" w:type="dxa"/>
            <w:vMerge w:val="restart"/>
            <w:vAlign w:val="center"/>
          </w:tcPr>
          <w:p w:rsidR="00693400" w:rsidRDefault="00693400" w:rsidP="00A14385">
            <w:pPr>
              <w:tabs>
                <w:tab w:val="left" w:pos="1418"/>
              </w:tabs>
              <w:spacing w:line="276" w:lineRule="auto"/>
              <w:jc w:val="center"/>
              <w:rPr>
                <w:rFonts w:ascii="Arial" w:hAnsi="Arial" w:cs="Arial"/>
                <w:sz w:val="23"/>
                <w:szCs w:val="23"/>
              </w:rPr>
            </w:pPr>
            <w:r>
              <w:rPr>
                <w:rFonts w:ascii="Arial" w:hAnsi="Arial" w:cs="Arial"/>
                <w:sz w:val="23"/>
                <w:szCs w:val="23"/>
              </w:rPr>
              <w:t>10.170</w:t>
            </w:r>
          </w:p>
        </w:tc>
        <w:tc>
          <w:tcPr>
            <w:tcW w:w="1842" w:type="dxa"/>
          </w:tcPr>
          <w:p w:rsidR="00693400" w:rsidRDefault="00693400" w:rsidP="00A14385">
            <w:pPr>
              <w:tabs>
                <w:tab w:val="left" w:pos="1418"/>
              </w:tabs>
              <w:spacing w:line="276" w:lineRule="auto"/>
              <w:jc w:val="center"/>
              <w:rPr>
                <w:rFonts w:ascii="Arial" w:hAnsi="Arial" w:cs="Arial"/>
                <w:sz w:val="23"/>
                <w:szCs w:val="23"/>
              </w:rPr>
            </w:pPr>
            <w:r>
              <w:rPr>
                <w:rFonts w:ascii="Arial" w:hAnsi="Arial" w:cs="Arial"/>
                <w:sz w:val="23"/>
                <w:szCs w:val="23"/>
              </w:rPr>
              <w:t>99010144969</w:t>
            </w:r>
          </w:p>
        </w:tc>
        <w:tc>
          <w:tcPr>
            <w:tcW w:w="1842" w:type="dxa"/>
          </w:tcPr>
          <w:p w:rsidR="00A14385" w:rsidRPr="00A14385" w:rsidRDefault="00A14385" w:rsidP="00A14385">
            <w:pPr>
              <w:tabs>
                <w:tab w:val="left" w:pos="1418"/>
              </w:tabs>
              <w:spacing w:line="276" w:lineRule="auto"/>
              <w:jc w:val="center"/>
              <w:rPr>
                <w:rFonts w:ascii="Arial" w:hAnsi="Arial" w:cs="Arial"/>
                <w:sz w:val="21"/>
                <w:szCs w:val="21"/>
              </w:rPr>
            </w:pPr>
            <w:r w:rsidRPr="00A14385">
              <w:rPr>
                <w:rFonts w:ascii="Arial" w:hAnsi="Arial" w:cs="Arial"/>
                <w:sz w:val="21"/>
                <w:szCs w:val="21"/>
              </w:rPr>
              <w:t>Fls. 29307/29314</w:t>
            </w:r>
          </w:p>
          <w:p w:rsidR="00693400" w:rsidRPr="00A14385" w:rsidRDefault="00A14385" w:rsidP="00A14385">
            <w:pPr>
              <w:tabs>
                <w:tab w:val="left" w:pos="1418"/>
              </w:tabs>
              <w:spacing w:line="276" w:lineRule="auto"/>
              <w:jc w:val="center"/>
              <w:rPr>
                <w:rFonts w:ascii="Arial" w:hAnsi="Arial" w:cs="Arial"/>
                <w:sz w:val="21"/>
                <w:szCs w:val="21"/>
              </w:rPr>
            </w:pPr>
            <w:r w:rsidRPr="00A14385">
              <w:rPr>
                <w:rFonts w:ascii="Arial" w:hAnsi="Arial" w:cs="Arial"/>
                <w:sz w:val="21"/>
                <w:szCs w:val="21"/>
              </w:rPr>
              <w:t>Vol. 101</w:t>
            </w:r>
          </w:p>
        </w:tc>
        <w:tc>
          <w:tcPr>
            <w:tcW w:w="1842" w:type="dxa"/>
          </w:tcPr>
          <w:p w:rsidR="00693400" w:rsidRDefault="009577F1" w:rsidP="009577F1">
            <w:pPr>
              <w:tabs>
                <w:tab w:val="left" w:pos="1418"/>
              </w:tabs>
              <w:spacing w:line="276" w:lineRule="auto"/>
              <w:jc w:val="center"/>
              <w:rPr>
                <w:rFonts w:ascii="Arial" w:hAnsi="Arial" w:cs="Arial"/>
                <w:sz w:val="23"/>
                <w:szCs w:val="23"/>
              </w:rPr>
            </w:pPr>
            <w:r>
              <w:rPr>
                <w:rFonts w:ascii="Arial" w:hAnsi="Arial" w:cs="Arial"/>
                <w:sz w:val="23"/>
                <w:szCs w:val="23"/>
              </w:rPr>
              <w:t>Não totalizado</w:t>
            </w:r>
          </w:p>
        </w:tc>
        <w:tc>
          <w:tcPr>
            <w:tcW w:w="1843" w:type="dxa"/>
          </w:tcPr>
          <w:p w:rsidR="00693400" w:rsidRDefault="00693400" w:rsidP="00A14385">
            <w:pPr>
              <w:tabs>
                <w:tab w:val="left" w:pos="1418"/>
              </w:tabs>
              <w:spacing w:line="276" w:lineRule="auto"/>
              <w:jc w:val="center"/>
              <w:rPr>
                <w:rFonts w:ascii="Arial" w:hAnsi="Arial" w:cs="Arial"/>
                <w:sz w:val="23"/>
                <w:szCs w:val="23"/>
              </w:rPr>
            </w:pPr>
            <w:r>
              <w:rPr>
                <w:rFonts w:ascii="Arial" w:hAnsi="Arial" w:cs="Arial"/>
                <w:sz w:val="23"/>
                <w:szCs w:val="23"/>
              </w:rPr>
              <w:t>R$ 63.795,00</w:t>
            </w:r>
          </w:p>
        </w:tc>
      </w:tr>
      <w:tr w:rsidR="00A14385" w:rsidTr="00A14385">
        <w:tc>
          <w:tcPr>
            <w:tcW w:w="1842" w:type="dxa"/>
            <w:vMerge/>
          </w:tcPr>
          <w:p w:rsidR="00693400" w:rsidRDefault="00693400" w:rsidP="00A14385">
            <w:pPr>
              <w:tabs>
                <w:tab w:val="left" w:pos="1418"/>
              </w:tabs>
              <w:spacing w:line="276" w:lineRule="auto"/>
              <w:jc w:val="center"/>
              <w:rPr>
                <w:rFonts w:ascii="Arial" w:hAnsi="Arial" w:cs="Arial"/>
                <w:sz w:val="23"/>
                <w:szCs w:val="23"/>
              </w:rPr>
            </w:pPr>
          </w:p>
        </w:tc>
        <w:tc>
          <w:tcPr>
            <w:tcW w:w="1842" w:type="dxa"/>
          </w:tcPr>
          <w:p w:rsidR="00693400" w:rsidRPr="004862E5" w:rsidRDefault="00693400" w:rsidP="00A14385">
            <w:pPr>
              <w:tabs>
                <w:tab w:val="left" w:pos="1418"/>
              </w:tabs>
              <w:spacing w:line="276" w:lineRule="auto"/>
              <w:jc w:val="center"/>
              <w:rPr>
                <w:rFonts w:ascii="Arial" w:hAnsi="Arial" w:cs="Arial"/>
                <w:i/>
                <w:color w:val="FF0000"/>
                <w:sz w:val="23"/>
                <w:szCs w:val="23"/>
              </w:rPr>
            </w:pPr>
            <w:r w:rsidRPr="004862E5">
              <w:rPr>
                <w:rFonts w:ascii="Arial" w:hAnsi="Arial" w:cs="Arial"/>
                <w:i/>
                <w:color w:val="FF0000"/>
                <w:sz w:val="23"/>
                <w:szCs w:val="23"/>
              </w:rPr>
              <w:t>990900883686</w:t>
            </w:r>
          </w:p>
        </w:tc>
        <w:tc>
          <w:tcPr>
            <w:tcW w:w="1842" w:type="dxa"/>
          </w:tcPr>
          <w:p w:rsidR="00693400" w:rsidRPr="004862E5" w:rsidRDefault="000F7E31" w:rsidP="00A14385">
            <w:pPr>
              <w:tabs>
                <w:tab w:val="left" w:pos="1418"/>
              </w:tabs>
              <w:spacing w:line="276" w:lineRule="auto"/>
              <w:jc w:val="center"/>
              <w:rPr>
                <w:rFonts w:ascii="Arial" w:hAnsi="Arial" w:cs="Arial"/>
                <w:i/>
                <w:color w:val="FF0000"/>
                <w:sz w:val="21"/>
                <w:szCs w:val="21"/>
              </w:rPr>
            </w:pPr>
            <w:r w:rsidRPr="004862E5">
              <w:rPr>
                <w:rFonts w:ascii="Arial" w:hAnsi="Arial" w:cs="Arial"/>
                <w:i/>
                <w:color w:val="FF0000"/>
                <w:sz w:val="21"/>
                <w:szCs w:val="21"/>
              </w:rPr>
              <w:t>Fls. 29349</w:t>
            </w:r>
          </w:p>
          <w:p w:rsidR="000F7E31" w:rsidRPr="004862E5" w:rsidRDefault="000F7E31" w:rsidP="00A14385">
            <w:pPr>
              <w:tabs>
                <w:tab w:val="left" w:pos="1418"/>
              </w:tabs>
              <w:spacing w:line="276" w:lineRule="auto"/>
              <w:jc w:val="center"/>
              <w:rPr>
                <w:rFonts w:ascii="Arial" w:hAnsi="Arial" w:cs="Arial"/>
                <w:i/>
                <w:color w:val="FF0000"/>
                <w:sz w:val="21"/>
                <w:szCs w:val="21"/>
              </w:rPr>
            </w:pPr>
            <w:r w:rsidRPr="004862E5">
              <w:rPr>
                <w:rFonts w:ascii="Arial" w:hAnsi="Arial" w:cs="Arial"/>
                <w:i/>
                <w:color w:val="FF0000"/>
                <w:sz w:val="21"/>
                <w:szCs w:val="21"/>
              </w:rPr>
              <w:t>Vol. 101</w:t>
            </w:r>
          </w:p>
        </w:tc>
        <w:tc>
          <w:tcPr>
            <w:tcW w:w="1842" w:type="dxa"/>
          </w:tcPr>
          <w:p w:rsidR="00693400" w:rsidRPr="004862E5" w:rsidRDefault="004932D8" w:rsidP="00A14385">
            <w:pPr>
              <w:tabs>
                <w:tab w:val="left" w:pos="1418"/>
              </w:tabs>
              <w:spacing w:line="276" w:lineRule="auto"/>
              <w:jc w:val="center"/>
              <w:rPr>
                <w:rFonts w:ascii="Arial" w:hAnsi="Arial" w:cs="Arial"/>
                <w:i/>
                <w:color w:val="FF0000"/>
                <w:sz w:val="23"/>
                <w:szCs w:val="23"/>
              </w:rPr>
            </w:pPr>
            <w:r w:rsidRPr="004862E5">
              <w:rPr>
                <w:rFonts w:ascii="Arial" w:hAnsi="Arial" w:cs="Arial"/>
                <w:i/>
                <w:color w:val="FF0000"/>
                <w:sz w:val="23"/>
                <w:szCs w:val="23"/>
              </w:rPr>
              <w:t>34.855</w:t>
            </w:r>
          </w:p>
        </w:tc>
        <w:tc>
          <w:tcPr>
            <w:tcW w:w="1843" w:type="dxa"/>
          </w:tcPr>
          <w:p w:rsidR="00693400" w:rsidRPr="004862E5" w:rsidRDefault="00693400" w:rsidP="00A14385">
            <w:pPr>
              <w:tabs>
                <w:tab w:val="left" w:pos="1418"/>
              </w:tabs>
              <w:spacing w:line="276" w:lineRule="auto"/>
              <w:jc w:val="center"/>
              <w:rPr>
                <w:rFonts w:ascii="Arial" w:hAnsi="Arial" w:cs="Arial"/>
                <w:i/>
                <w:color w:val="FF0000"/>
                <w:sz w:val="23"/>
                <w:szCs w:val="23"/>
              </w:rPr>
            </w:pPr>
            <w:r w:rsidRPr="004862E5">
              <w:rPr>
                <w:rFonts w:ascii="Arial" w:hAnsi="Arial" w:cs="Arial"/>
                <w:i/>
                <w:color w:val="FF0000"/>
                <w:sz w:val="23"/>
                <w:szCs w:val="23"/>
              </w:rPr>
              <w:t>R$ 238.980,00</w:t>
            </w:r>
          </w:p>
        </w:tc>
      </w:tr>
      <w:tr w:rsidR="00A14385" w:rsidTr="00A14385">
        <w:tc>
          <w:tcPr>
            <w:tcW w:w="1842" w:type="dxa"/>
            <w:vMerge/>
          </w:tcPr>
          <w:p w:rsidR="00693400" w:rsidRDefault="00693400" w:rsidP="00A14385">
            <w:pPr>
              <w:tabs>
                <w:tab w:val="left" w:pos="1418"/>
              </w:tabs>
              <w:spacing w:line="276" w:lineRule="auto"/>
              <w:jc w:val="center"/>
              <w:rPr>
                <w:rFonts w:ascii="Arial" w:hAnsi="Arial" w:cs="Arial"/>
                <w:sz w:val="23"/>
                <w:szCs w:val="23"/>
              </w:rPr>
            </w:pPr>
          </w:p>
        </w:tc>
        <w:tc>
          <w:tcPr>
            <w:tcW w:w="1842" w:type="dxa"/>
          </w:tcPr>
          <w:p w:rsidR="00693400" w:rsidRDefault="00693400" w:rsidP="00A14385">
            <w:pPr>
              <w:tabs>
                <w:tab w:val="left" w:pos="1418"/>
              </w:tabs>
              <w:spacing w:line="276" w:lineRule="auto"/>
              <w:jc w:val="center"/>
              <w:rPr>
                <w:rFonts w:ascii="Arial" w:hAnsi="Arial" w:cs="Arial"/>
                <w:sz w:val="23"/>
                <w:szCs w:val="23"/>
              </w:rPr>
            </w:pPr>
            <w:r>
              <w:rPr>
                <w:rFonts w:ascii="Arial" w:hAnsi="Arial" w:cs="Arial"/>
                <w:sz w:val="23"/>
                <w:szCs w:val="23"/>
              </w:rPr>
              <w:t>99100108090</w:t>
            </w:r>
          </w:p>
        </w:tc>
        <w:tc>
          <w:tcPr>
            <w:tcW w:w="1842" w:type="dxa"/>
          </w:tcPr>
          <w:p w:rsidR="00693400" w:rsidRDefault="00A14385" w:rsidP="00A14385">
            <w:pPr>
              <w:tabs>
                <w:tab w:val="left" w:pos="1418"/>
              </w:tabs>
              <w:spacing w:line="276" w:lineRule="auto"/>
              <w:jc w:val="center"/>
              <w:rPr>
                <w:rFonts w:ascii="Arial" w:hAnsi="Arial" w:cs="Arial"/>
                <w:sz w:val="21"/>
                <w:szCs w:val="21"/>
              </w:rPr>
            </w:pPr>
            <w:r>
              <w:rPr>
                <w:rFonts w:ascii="Arial" w:hAnsi="Arial" w:cs="Arial"/>
                <w:sz w:val="21"/>
                <w:szCs w:val="21"/>
              </w:rPr>
              <w:t>Fls. 29342/</w:t>
            </w:r>
            <w:r w:rsidR="000F7E31">
              <w:rPr>
                <w:rFonts w:ascii="Arial" w:hAnsi="Arial" w:cs="Arial"/>
                <w:sz w:val="21"/>
                <w:szCs w:val="21"/>
              </w:rPr>
              <w:t>29347</w:t>
            </w:r>
          </w:p>
          <w:p w:rsidR="000F7E31" w:rsidRPr="00A14385" w:rsidRDefault="000F7E31" w:rsidP="00A14385">
            <w:pPr>
              <w:tabs>
                <w:tab w:val="left" w:pos="1418"/>
              </w:tabs>
              <w:spacing w:line="276" w:lineRule="auto"/>
              <w:jc w:val="center"/>
              <w:rPr>
                <w:rFonts w:ascii="Arial" w:hAnsi="Arial" w:cs="Arial"/>
                <w:sz w:val="21"/>
                <w:szCs w:val="21"/>
              </w:rPr>
            </w:pPr>
            <w:r>
              <w:rPr>
                <w:rFonts w:ascii="Arial" w:hAnsi="Arial" w:cs="Arial"/>
                <w:sz w:val="21"/>
                <w:szCs w:val="21"/>
              </w:rPr>
              <w:t>Vol. 101</w:t>
            </w:r>
          </w:p>
        </w:tc>
        <w:tc>
          <w:tcPr>
            <w:tcW w:w="1842" w:type="dxa"/>
          </w:tcPr>
          <w:p w:rsidR="00693400" w:rsidRDefault="000F7E31" w:rsidP="00A14385">
            <w:pPr>
              <w:tabs>
                <w:tab w:val="left" w:pos="1418"/>
              </w:tabs>
              <w:spacing w:line="276" w:lineRule="auto"/>
              <w:jc w:val="center"/>
              <w:rPr>
                <w:rFonts w:ascii="Arial" w:hAnsi="Arial" w:cs="Arial"/>
                <w:sz w:val="23"/>
                <w:szCs w:val="23"/>
              </w:rPr>
            </w:pPr>
            <w:r>
              <w:rPr>
                <w:rFonts w:ascii="Arial" w:hAnsi="Arial" w:cs="Arial"/>
                <w:sz w:val="23"/>
                <w:szCs w:val="23"/>
              </w:rPr>
              <w:t>4.700</w:t>
            </w:r>
          </w:p>
        </w:tc>
        <w:tc>
          <w:tcPr>
            <w:tcW w:w="1843" w:type="dxa"/>
          </w:tcPr>
          <w:p w:rsidR="00693400" w:rsidRDefault="00693400" w:rsidP="00A14385">
            <w:pPr>
              <w:tabs>
                <w:tab w:val="left" w:pos="1418"/>
              </w:tabs>
              <w:spacing w:line="276" w:lineRule="auto"/>
              <w:jc w:val="center"/>
              <w:rPr>
                <w:rFonts w:ascii="Arial" w:hAnsi="Arial" w:cs="Arial"/>
                <w:sz w:val="23"/>
                <w:szCs w:val="23"/>
              </w:rPr>
            </w:pPr>
            <w:r>
              <w:rPr>
                <w:rFonts w:ascii="Arial" w:hAnsi="Arial" w:cs="Arial"/>
                <w:sz w:val="23"/>
                <w:szCs w:val="23"/>
              </w:rPr>
              <w:t>R$ 29.553,00</w:t>
            </w:r>
          </w:p>
        </w:tc>
      </w:tr>
      <w:tr w:rsidR="00A14385" w:rsidTr="00A14385">
        <w:tc>
          <w:tcPr>
            <w:tcW w:w="1842" w:type="dxa"/>
            <w:vMerge/>
          </w:tcPr>
          <w:p w:rsidR="00693400" w:rsidRDefault="00693400" w:rsidP="00A14385">
            <w:pPr>
              <w:tabs>
                <w:tab w:val="left" w:pos="1418"/>
              </w:tabs>
              <w:spacing w:line="276" w:lineRule="auto"/>
              <w:jc w:val="center"/>
              <w:rPr>
                <w:rFonts w:ascii="Arial" w:hAnsi="Arial" w:cs="Arial"/>
                <w:sz w:val="23"/>
                <w:szCs w:val="23"/>
              </w:rPr>
            </w:pPr>
          </w:p>
        </w:tc>
        <w:tc>
          <w:tcPr>
            <w:tcW w:w="1842" w:type="dxa"/>
          </w:tcPr>
          <w:p w:rsidR="00693400" w:rsidRDefault="00693400" w:rsidP="00A14385">
            <w:pPr>
              <w:tabs>
                <w:tab w:val="left" w:pos="1418"/>
              </w:tabs>
              <w:spacing w:line="276" w:lineRule="auto"/>
              <w:jc w:val="center"/>
              <w:rPr>
                <w:rFonts w:ascii="Arial" w:hAnsi="Arial" w:cs="Arial"/>
                <w:sz w:val="23"/>
                <w:szCs w:val="23"/>
              </w:rPr>
            </w:pPr>
            <w:r>
              <w:rPr>
                <w:rFonts w:ascii="Arial" w:hAnsi="Arial" w:cs="Arial"/>
                <w:sz w:val="23"/>
                <w:szCs w:val="23"/>
              </w:rPr>
              <w:t>99110137271</w:t>
            </w:r>
          </w:p>
        </w:tc>
        <w:tc>
          <w:tcPr>
            <w:tcW w:w="1842" w:type="dxa"/>
          </w:tcPr>
          <w:p w:rsidR="00693400" w:rsidRDefault="009577F1" w:rsidP="00A14385">
            <w:pPr>
              <w:tabs>
                <w:tab w:val="left" w:pos="1418"/>
              </w:tabs>
              <w:spacing w:line="276" w:lineRule="auto"/>
              <w:jc w:val="center"/>
              <w:rPr>
                <w:rFonts w:ascii="Arial" w:hAnsi="Arial" w:cs="Arial"/>
                <w:sz w:val="21"/>
                <w:szCs w:val="21"/>
              </w:rPr>
            </w:pPr>
            <w:r>
              <w:rPr>
                <w:rFonts w:ascii="Arial" w:hAnsi="Arial" w:cs="Arial"/>
                <w:sz w:val="21"/>
                <w:szCs w:val="21"/>
              </w:rPr>
              <w:t>Fls. 29360/29367</w:t>
            </w:r>
          </w:p>
          <w:p w:rsidR="009577F1" w:rsidRPr="00A14385" w:rsidRDefault="009577F1" w:rsidP="00A14385">
            <w:pPr>
              <w:tabs>
                <w:tab w:val="left" w:pos="1418"/>
              </w:tabs>
              <w:spacing w:line="276" w:lineRule="auto"/>
              <w:jc w:val="center"/>
              <w:rPr>
                <w:rFonts w:ascii="Arial" w:hAnsi="Arial" w:cs="Arial"/>
                <w:sz w:val="21"/>
                <w:szCs w:val="21"/>
              </w:rPr>
            </w:pPr>
            <w:r>
              <w:rPr>
                <w:rFonts w:ascii="Arial" w:hAnsi="Arial" w:cs="Arial"/>
                <w:sz w:val="21"/>
                <w:szCs w:val="21"/>
              </w:rPr>
              <w:t>Vol. 101</w:t>
            </w:r>
          </w:p>
        </w:tc>
        <w:tc>
          <w:tcPr>
            <w:tcW w:w="1842" w:type="dxa"/>
          </w:tcPr>
          <w:p w:rsidR="00693400" w:rsidRDefault="009577F1" w:rsidP="009577F1">
            <w:pPr>
              <w:tabs>
                <w:tab w:val="left" w:pos="1418"/>
              </w:tabs>
              <w:spacing w:line="276" w:lineRule="auto"/>
              <w:jc w:val="center"/>
              <w:rPr>
                <w:rFonts w:ascii="Arial" w:hAnsi="Arial" w:cs="Arial"/>
                <w:sz w:val="23"/>
                <w:szCs w:val="23"/>
              </w:rPr>
            </w:pPr>
            <w:r>
              <w:rPr>
                <w:rFonts w:ascii="Arial" w:hAnsi="Arial" w:cs="Arial"/>
                <w:sz w:val="23"/>
                <w:szCs w:val="23"/>
              </w:rPr>
              <w:t>Não totalizado</w:t>
            </w:r>
          </w:p>
        </w:tc>
        <w:tc>
          <w:tcPr>
            <w:tcW w:w="1843" w:type="dxa"/>
          </w:tcPr>
          <w:p w:rsidR="00693400" w:rsidRDefault="00693400" w:rsidP="00A14385">
            <w:pPr>
              <w:tabs>
                <w:tab w:val="left" w:pos="1418"/>
              </w:tabs>
              <w:spacing w:line="276" w:lineRule="auto"/>
              <w:jc w:val="center"/>
              <w:rPr>
                <w:rFonts w:ascii="Arial" w:hAnsi="Arial" w:cs="Arial"/>
                <w:sz w:val="23"/>
                <w:szCs w:val="23"/>
              </w:rPr>
            </w:pPr>
            <w:r>
              <w:rPr>
                <w:rFonts w:ascii="Arial" w:hAnsi="Arial" w:cs="Arial"/>
                <w:sz w:val="23"/>
                <w:szCs w:val="23"/>
              </w:rPr>
              <w:t>R$ 26.202,00</w:t>
            </w:r>
          </w:p>
        </w:tc>
      </w:tr>
      <w:tr w:rsidR="00A14385" w:rsidTr="00A14385">
        <w:tc>
          <w:tcPr>
            <w:tcW w:w="1842" w:type="dxa"/>
            <w:vMerge/>
          </w:tcPr>
          <w:p w:rsidR="00693400" w:rsidRDefault="00693400" w:rsidP="00A14385">
            <w:pPr>
              <w:tabs>
                <w:tab w:val="left" w:pos="1418"/>
              </w:tabs>
              <w:spacing w:line="276" w:lineRule="auto"/>
              <w:jc w:val="center"/>
              <w:rPr>
                <w:rFonts w:ascii="Arial" w:hAnsi="Arial" w:cs="Arial"/>
                <w:sz w:val="23"/>
                <w:szCs w:val="23"/>
              </w:rPr>
            </w:pPr>
          </w:p>
        </w:tc>
        <w:tc>
          <w:tcPr>
            <w:tcW w:w="1842" w:type="dxa"/>
          </w:tcPr>
          <w:p w:rsidR="00693400" w:rsidRDefault="00693400" w:rsidP="00A14385">
            <w:pPr>
              <w:tabs>
                <w:tab w:val="left" w:pos="1418"/>
              </w:tabs>
              <w:spacing w:line="276" w:lineRule="auto"/>
              <w:jc w:val="center"/>
              <w:rPr>
                <w:rFonts w:ascii="Arial" w:hAnsi="Arial" w:cs="Arial"/>
                <w:sz w:val="23"/>
                <w:szCs w:val="23"/>
              </w:rPr>
            </w:pPr>
            <w:r>
              <w:rPr>
                <w:rFonts w:ascii="Arial" w:hAnsi="Arial" w:cs="Arial"/>
                <w:sz w:val="23"/>
                <w:szCs w:val="23"/>
              </w:rPr>
              <w:t>99120053143</w:t>
            </w:r>
          </w:p>
        </w:tc>
        <w:tc>
          <w:tcPr>
            <w:tcW w:w="1842" w:type="dxa"/>
          </w:tcPr>
          <w:p w:rsidR="00693400" w:rsidRDefault="009577F1" w:rsidP="00A14385">
            <w:pPr>
              <w:tabs>
                <w:tab w:val="left" w:pos="1418"/>
              </w:tabs>
              <w:spacing w:line="276" w:lineRule="auto"/>
              <w:jc w:val="center"/>
              <w:rPr>
                <w:rFonts w:ascii="Arial" w:hAnsi="Arial" w:cs="Arial"/>
                <w:sz w:val="21"/>
                <w:szCs w:val="21"/>
              </w:rPr>
            </w:pPr>
            <w:r>
              <w:rPr>
                <w:rFonts w:ascii="Arial" w:hAnsi="Arial" w:cs="Arial"/>
                <w:sz w:val="21"/>
                <w:szCs w:val="21"/>
              </w:rPr>
              <w:t>Fls. 29352/29359</w:t>
            </w:r>
          </w:p>
          <w:p w:rsidR="009577F1" w:rsidRPr="00A14385" w:rsidRDefault="009577F1" w:rsidP="00A14385">
            <w:pPr>
              <w:tabs>
                <w:tab w:val="left" w:pos="1418"/>
              </w:tabs>
              <w:spacing w:line="276" w:lineRule="auto"/>
              <w:jc w:val="center"/>
              <w:rPr>
                <w:rFonts w:ascii="Arial" w:hAnsi="Arial" w:cs="Arial"/>
                <w:sz w:val="21"/>
                <w:szCs w:val="21"/>
              </w:rPr>
            </w:pPr>
            <w:r>
              <w:rPr>
                <w:rFonts w:ascii="Arial" w:hAnsi="Arial" w:cs="Arial"/>
                <w:sz w:val="21"/>
                <w:szCs w:val="21"/>
              </w:rPr>
              <w:t>Vol. 101</w:t>
            </w:r>
          </w:p>
        </w:tc>
        <w:tc>
          <w:tcPr>
            <w:tcW w:w="1842" w:type="dxa"/>
          </w:tcPr>
          <w:p w:rsidR="00693400" w:rsidRDefault="009577F1" w:rsidP="00A14385">
            <w:pPr>
              <w:tabs>
                <w:tab w:val="left" w:pos="1418"/>
              </w:tabs>
              <w:spacing w:line="276" w:lineRule="auto"/>
              <w:jc w:val="center"/>
              <w:rPr>
                <w:rFonts w:ascii="Arial" w:hAnsi="Arial" w:cs="Arial"/>
                <w:sz w:val="23"/>
                <w:szCs w:val="23"/>
              </w:rPr>
            </w:pPr>
            <w:r>
              <w:rPr>
                <w:rFonts w:ascii="Arial" w:hAnsi="Arial" w:cs="Arial"/>
                <w:sz w:val="23"/>
                <w:szCs w:val="23"/>
              </w:rPr>
              <w:t>Não totalizado</w:t>
            </w:r>
          </w:p>
        </w:tc>
        <w:tc>
          <w:tcPr>
            <w:tcW w:w="1843" w:type="dxa"/>
          </w:tcPr>
          <w:p w:rsidR="00693400" w:rsidRDefault="00693400" w:rsidP="00A14385">
            <w:pPr>
              <w:tabs>
                <w:tab w:val="left" w:pos="1418"/>
              </w:tabs>
              <w:spacing w:line="276" w:lineRule="auto"/>
              <w:jc w:val="center"/>
              <w:rPr>
                <w:rFonts w:ascii="Arial" w:hAnsi="Arial" w:cs="Arial"/>
                <w:sz w:val="23"/>
                <w:szCs w:val="23"/>
              </w:rPr>
            </w:pPr>
            <w:r>
              <w:rPr>
                <w:rFonts w:ascii="Arial" w:hAnsi="Arial" w:cs="Arial"/>
                <w:sz w:val="23"/>
                <w:szCs w:val="23"/>
              </w:rPr>
              <w:t>R$ 50.193,00</w:t>
            </w:r>
          </w:p>
        </w:tc>
      </w:tr>
      <w:tr w:rsidR="00693400" w:rsidTr="00A14385">
        <w:tc>
          <w:tcPr>
            <w:tcW w:w="1842" w:type="dxa"/>
            <w:vMerge/>
          </w:tcPr>
          <w:p w:rsidR="00693400" w:rsidRDefault="00693400" w:rsidP="00A14385">
            <w:pPr>
              <w:tabs>
                <w:tab w:val="left" w:pos="1418"/>
              </w:tabs>
              <w:spacing w:line="276" w:lineRule="auto"/>
              <w:jc w:val="center"/>
              <w:rPr>
                <w:rFonts w:ascii="Arial" w:hAnsi="Arial" w:cs="Arial"/>
                <w:sz w:val="23"/>
                <w:szCs w:val="23"/>
              </w:rPr>
            </w:pPr>
          </w:p>
        </w:tc>
        <w:tc>
          <w:tcPr>
            <w:tcW w:w="5526" w:type="dxa"/>
            <w:gridSpan w:val="3"/>
          </w:tcPr>
          <w:p w:rsidR="00693400" w:rsidRDefault="00693400" w:rsidP="00CC24CB">
            <w:pPr>
              <w:tabs>
                <w:tab w:val="left" w:pos="1418"/>
              </w:tabs>
              <w:spacing w:line="276" w:lineRule="auto"/>
              <w:jc w:val="right"/>
              <w:rPr>
                <w:rFonts w:ascii="Arial" w:hAnsi="Arial" w:cs="Arial"/>
                <w:sz w:val="23"/>
                <w:szCs w:val="23"/>
              </w:rPr>
            </w:pPr>
            <w:r>
              <w:rPr>
                <w:rFonts w:ascii="Arial" w:hAnsi="Arial" w:cs="Arial"/>
                <w:b/>
                <w:sz w:val="23"/>
                <w:szCs w:val="23"/>
              </w:rPr>
              <w:t>Subtotal</w:t>
            </w:r>
          </w:p>
        </w:tc>
        <w:tc>
          <w:tcPr>
            <w:tcW w:w="1843" w:type="dxa"/>
          </w:tcPr>
          <w:p w:rsidR="00693400" w:rsidRDefault="00693400" w:rsidP="00A14385">
            <w:pPr>
              <w:tabs>
                <w:tab w:val="left" w:pos="1418"/>
              </w:tabs>
              <w:spacing w:line="276" w:lineRule="auto"/>
              <w:jc w:val="center"/>
              <w:rPr>
                <w:rFonts w:ascii="Arial" w:hAnsi="Arial" w:cs="Arial"/>
                <w:sz w:val="23"/>
                <w:szCs w:val="23"/>
              </w:rPr>
            </w:pPr>
            <w:r>
              <w:rPr>
                <w:rFonts w:ascii="Arial" w:hAnsi="Arial" w:cs="Arial"/>
                <w:b/>
                <w:sz w:val="23"/>
                <w:szCs w:val="23"/>
              </w:rPr>
              <w:t>R$ 408.723,00</w:t>
            </w:r>
          </w:p>
        </w:tc>
      </w:tr>
      <w:tr w:rsidR="00CA16EB" w:rsidTr="00A14385">
        <w:tc>
          <w:tcPr>
            <w:tcW w:w="7368" w:type="dxa"/>
            <w:gridSpan w:val="4"/>
          </w:tcPr>
          <w:p w:rsidR="00CA16EB" w:rsidRDefault="00CA16EB" w:rsidP="00CC24CB">
            <w:pPr>
              <w:tabs>
                <w:tab w:val="left" w:pos="1418"/>
              </w:tabs>
              <w:spacing w:line="276" w:lineRule="auto"/>
              <w:jc w:val="right"/>
              <w:rPr>
                <w:rFonts w:ascii="Arial" w:hAnsi="Arial" w:cs="Arial"/>
                <w:b/>
                <w:sz w:val="23"/>
                <w:szCs w:val="23"/>
              </w:rPr>
            </w:pPr>
            <w:r>
              <w:rPr>
                <w:rFonts w:ascii="Arial" w:hAnsi="Arial" w:cs="Arial"/>
                <w:b/>
                <w:sz w:val="23"/>
                <w:szCs w:val="23"/>
              </w:rPr>
              <w:t>TOTAL</w:t>
            </w:r>
          </w:p>
        </w:tc>
        <w:tc>
          <w:tcPr>
            <w:tcW w:w="1843" w:type="dxa"/>
          </w:tcPr>
          <w:p w:rsidR="00CA16EB" w:rsidRDefault="006D78B6" w:rsidP="00A14385">
            <w:pPr>
              <w:tabs>
                <w:tab w:val="left" w:pos="1418"/>
              </w:tabs>
              <w:spacing w:line="276" w:lineRule="auto"/>
              <w:jc w:val="center"/>
              <w:rPr>
                <w:rFonts w:ascii="Arial" w:hAnsi="Arial" w:cs="Arial"/>
                <w:b/>
                <w:sz w:val="23"/>
                <w:szCs w:val="23"/>
              </w:rPr>
            </w:pPr>
            <w:r>
              <w:rPr>
                <w:rFonts w:ascii="Arial" w:hAnsi="Arial" w:cs="Arial"/>
                <w:b/>
                <w:sz w:val="23"/>
                <w:szCs w:val="23"/>
              </w:rPr>
              <w:t>R$ 571.655,96</w:t>
            </w:r>
          </w:p>
        </w:tc>
      </w:tr>
    </w:tbl>
    <w:p w:rsidR="00CF03D7" w:rsidRDefault="00CF03D7" w:rsidP="00CF03D7">
      <w:pPr>
        <w:tabs>
          <w:tab w:val="left" w:pos="1418"/>
        </w:tabs>
        <w:spacing w:after="200" w:line="360" w:lineRule="auto"/>
        <w:jc w:val="both"/>
        <w:rPr>
          <w:rFonts w:ascii="Arial" w:hAnsi="Arial" w:cs="Arial"/>
          <w:sz w:val="23"/>
          <w:szCs w:val="23"/>
        </w:rPr>
      </w:pPr>
    </w:p>
    <w:p w:rsidR="00B51EB3" w:rsidRDefault="004862E5"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Visualiza-se, pois, que o valor apontado pela 4ª CFM como pago na ausência de atestado pela contratada corresponde</w:t>
      </w:r>
      <w:r w:rsidR="00663A96">
        <w:rPr>
          <w:rFonts w:ascii="Arial" w:hAnsi="Arial" w:cs="Arial"/>
          <w:sz w:val="23"/>
          <w:szCs w:val="23"/>
        </w:rPr>
        <w:t>, em verdade,</w:t>
      </w:r>
      <w:r>
        <w:rPr>
          <w:rFonts w:ascii="Arial" w:hAnsi="Arial" w:cs="Arial"/>
          <w:sz w:val="23"/>
          <w:szCs w:val="23"/>
        </w:rPr>
        <w:t xml:space="preserve"> ao extrato de serviços </w:t>
      </w:r>
      <w:r w:rsidR="007A0787">
        <w:rPr>
          <w:rFonts w:ascii="Arial" w:hAnsi="Arial" w:cs="Arial"/>
          <w:sz w:val="23"/>
          <w:szCs w:val="23"/>
        </w:rPr>
        <w:t xml:space="preserve">da Nota Fiscal nº </w:t>
      </w:r>
      <w:r w:rsidR="007A0787" w:rsidRPr="007A0787">
        <w:rPr>
          <w:rFonts w:ascii="Arial" w:hAnsi="Arial" w:cs="Arial"/>
          <w:sz w:val="23"/>
          <w:szCs w:val="23"/>
        </w:rPr>
        <w:t>990900883686</w:t>
      </w:r>
      <w:r w:rsidR="007A0787">
        <w:rPr>
          <w:rFonts w:ascii="Arial" w:hAnsi="Arial" w:cs="Arial"/>
          <w:sz w:val="23"/>
          <w:szCs w:val="23"/>
        </w:rPr>
        <w:t>, emitida</w:t>
      </w:r>
      <w:r>
        <w:rPr>
          <w:rFonts w:ascii="Arial" w:hAnsi="Arial" w:cs="Arial"/>
          <w:sz w:val="23"/>
          <w:szCs w:val="23"/>
        </w:rPr>
        <w:t xml:space="preserve"> pela ECT à fl. 29349 (vol. 101)</w:t>
      </w:r>
      <w:r w:rsidR="00D03D6C">
        <w:rPr>
          <w:rFonts w:ascii="Arial" w:hAnsi="Arial" w:cs="Arial"/>
          <w:sz w:val="23"/>
          <w:szCs w:val="23"/>
        </w:rPr>
        <w:t>.</w:t>
      </w:r>
    </w:p>
    <w:p w:rsidR="00D03D6C" w:rsidRDefault="00D03D6C"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Ocorre, porém, que de tal demonstrativo consta carimbo</w:t>
      </w:r>
      <w:r w:rsidR="00083B23">
        <w:rPr>
          <w:rFonts w:ascii="Arial" w:hAnsi="Arial" w:cs="Arial"/>
          <w:sz w:val="23"/>
          <w:szCs w:val="23"/>
        </w:rPr>
        <w:t xml:space="preserve"> com os dizeres “sem efeito”, que, se entendido como invalidação do documento, retira de fato </w:t>
      </w:r>
      <w:r w:rsidR="007A0787">
        <w:rPr>
          <w:rFonts w:ascii="Arial" w:hAnsi="Arial" w:cs="Arial"/>
          <w:sz w:val="23"/>
          <w:szCs w:val="23"/>
        </w:rPr>
        <w:t xml:space="preserve">a </w:t>
      </w:r>
      <w:r w:rsidR="007A0787">
        <w:rPr>
          <w:rFonts w:ascii="Arial" w:hAnsi="Arial" w:cs="Arial"/>
          <w:sz w:val="23"/>
          <w:szCs w:val="23"/>
        </w:rPr>
        <w:lastRenderedPageBreak/>
        <w:t>justificativa para pagamento do valor ali descrito.</w:t>
      </w:r>
      <w:r w:rsidR="00663A96">
        <w:rPr>
          <w:rFonts w:ascii="Arial" w:hAnsi="Arial" w:cs="Arial"/>
          <w:sz w:val="23"/>
          <w:szCs w:val="23"/>
        </w:rPr>
        <w:t xml:space="preserve"> Afinal, demonstrativo invalidado não é documento apto a motivar pagamento de tão expressiva monta.</w:t>
      </w:r>
    </w:p>
    <w:p w:rsidR="00D03D6C" w:rsidRDefault="007A0787"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sidRPr="00746E10">
        <w:rPr>
          <w:rFonts w:ascii="Arial" w:hAnsi="Arial" w:cs="Arial"/>
          <w:sz w:val="23"/>
          <w:szCs w:val="23"/>
        </w:rPr>
        <w:t>Aliás, não é possível verificar por outro modo a execução do serviço ali constante, uma vez que, diferentemente do que ocorreu com as outras notas fiscais, esta não</w:t>
      </w:r>
      <w:r w:rsidR="00D03D6C" w:rsidRPr="00746E10">
        <w:rPr>
          <w:rFonts w:ascii="Arial" w:hAnsi="Arial" w:cs="Arial"/>
          <w:sz w:val="23"/>
          <w:szCs w:val="23"/>
        </w:rPr>
        <w:t xml:space="preserve"> se fez acompanhar de detalhamento sintético de faturamento</w:t>
      </w:r>
      <w:r w:rsidRPr="00746E10">
        <w:rPr>
          <w:rFonts w:ascii="Arial" w:hAnsi="Arial" w:cs="Arial"/>
          <w:sz w:val="23"/>
          <w:szCs w:val="23"/>
        </w:rPr>
        <w:t>.</w:t>
      </w:r>
      <w:r w:rsidR="00746E10">
        <w:rPr>
          <w:rFonts w:ascii="Arial" w:hAnsi="Arial" w:cs="Arial"/>
          <w:sz w:val="23"/>
          <w:szCs w:val="23"/>
        </w:rPr>
        <w:t xml:space="preserve"> </w:t>
      </w:r>
    </w:p>
    <w:p w:rsidR="00746E10" w:rsidRDefault="00447EB2"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Deste modo, </w:t>
      </w:r>
      <w:r w:rsidRPr="00364786">
        <w:rPr>
          <w:rFonts w:ascii="Arial" w:hAnsi="Arial" w:cs="Arial"/>
          <w:sz w:val="23"/>
          <w:szCs w:val="23"/>
          <w:u w:val="single"/>
        </w:rPr>
        <w:t>não havendo documentação hábil à comprovação do liame entre o pagamento realizado no valor de R$ 238.980,00 e a efetiva execução de serviço decorrente do Contrato nº</w:t>
      </w:r>
      <w:r w:rsidR="005202F4" w:rsidRPr="00364786">
        <w:rPr>
          <w:rFonts w:ascii="Arial" w:hAnsi="Arial" w:cs="Arial"/>
          <w:sz w:val="23"/>
          <w:szCs w:val="23"/>
          <w:u w:val="single"/>
        </w:rPr>
        <w:t xml:space="preserve"> 9912266752/2010</w:t>
      </w:r>
      <w:r w:rsidR="00364786">
        <w:rPr>
          <w:rFonts w:ascii="Arial" w:hAnsi="Arial" w:cs="Arial"/>
          <w:sz w:val="23"/>
          <w:szCs w:val="23"/>
          <w:u w:val="single"/>
        </w:rPr>
        <w:t>, o que caracteriza prejuízo ao erário municipal</w:t>
      </w:r>
      <w:r w:rsidR="005202F4">
        <w:rPr>
          <w:rFonts w:ascii="Arial" w:hAnsi="Arial" w:cs="Arial"/>
          <w:sz w:val="23"/>
          <w:szCs w:val="23"/>
        </w:rPr>
        <w:t xml:space="preserve">, entendemos que devem ser citados para apresentação de defesa e esclarecimentos os </w:t>
      </w:r>
      <w:r w:rsidR="005202F4" w:rsidRPr="00364786">
        <w:rPr>
          <w:rFonts w:ascii="Arial" w:hAnsi="Arial" w:cs="Arial"/>
          <w:sz w:val="23"/>
          <w:szCs w:val="23"/>
          <w:u w:val="single"/>
        </w:rPr>
        <w:t>Srs. Valdemar Hial</w:t>
      </w:r>
      <w:r w:rsidR="005202F4">
        <w:rPr>
          <w:rFonts w:ascii="Arial" w:hAnsi="Arial" w:cs="Arial"/>
          <w:sz w:val="23"/>
          <w:szCs w:val="23"/>
        </w:rPr>
        <w:t xml:space="preserve">, ex-Secretário de Saúde, que reconheceu o valor como devido </w:t>
      </w:r>
      <w:r w:rsidR="00767703">
        <w:rPr>
          <w:rFonts w:ascii="Arial" w:hAnsi="Arial" w:cs="Arial"/>
          <w:sz w:val="23"/>
          <w:szCs w:val="23"/>
        </w:rPr>
        <w:t xml:space="preserve">e ordenou a despesa </w:t>
      </w:r>
      <w:r w:rsidR="005202F4">
        <w:rPr>
          <w:rFonts w:ascii="Arial" w:hAnsi="Arial" w:cs="Arial"/>
          <w:sz w:val="23"/>
          <w:szCs w:val="23"/>
        </w:rPr>
        <w:t>(fl</w:t>
      </w:r>
      <w:r w:rsidR="00767703">
        <w:rPr>
          <w:rFonts w:ascii="Arial" w:hAnsi="Arial" w:cs="Arial"/>
          <w:sz w:val="23"/>
          <w:szCs w:val="23"/>
        </w:rPr>
        <w:t>s</w:t>
      </w:r>
      <w:r w:rsidR="005202F4">
        <w:rPr>
          <w:rFonts w:ascii="Arial" w:hAnsi="Arial" w:cs="Arial"/>
          <w:sz w:val="23"/>
          <w:szCs w:val="23"/>
        </w:rPr>
        <w:t xml:space="preserve">. </w:t>
      </w:r>
      <w:r w:rsidR="00767703">
        <w:rPr>
          <w:rFonts w:ascii="Arial" w:hAnsi="Arial" w:cs="Arial"/>
          <w:sz w:val="23"/>
          <w:szCs w:val="23"/>
        </w:rPr>
        <w:t xml:space="preserve">29383 e 29386, vol. 101), e </w:t>
      </w:r>
      <w:r w:rsidR="00767703" w:rsidRPr="00364786">
        <w:rPr>
          <w:rFonts w:ascii="Arial" w:hAnsi="Arial" w:cs="Arial"/>
          <w:sz w:val="23"/>
          <w:szCs w:val="23"/>
          <w:u w:val="single"/>
        </w:rPr>
        <w:t>Anderson Adauto Pereira</w:t>
      </w:r>
      <w:r w:rsidR="00767703">
        <w:rPr>
          <w:rFonts w:ascii="Arial" w:hAnsi="Arial" w:cs="Arial"/>
          <w:sz w:val="23"/>
          <w:szCs w:val="23"/>
        </w:rPr>
        <w:t>, e</w:t>
      </w:r>
      <w:r w:rsidR="00364786">
        <w:rPr>
          <w:rFonts w:ascii="Arial" w:hAnsi="Arial" w:cs="Arial"/>
          <w:sz w:val="23"/>
          <w:szCs w:val="23"/>
        </w:rPr>
        <w:t>ntão Prefeito Municipal.</w:t>
      </w:r>
    </w:p>
    <w:p w:rsidR="00364786" w:rsidRPr="00B46A4B" w:rsidRDefault="00B46A4B" w:rsidP="00080F5E">
      <w:pPr>
        <w:tabs>
          <w:tab w:val="left" w:pos="0"/>
        </w:tabs>
        <w:spacing w:after="200" w:line="360" w:lineRule="auto"/>
        <w:jc w:val="both"/>
        <w:rPr>
          <w:rFonts w:ascii="Arial" w:hAnsi="Arial" w:cs="Arial"/>
          <w:b/>
          <w:sz w:val="23"/>
          <w:szCs w:val="23"/>
        </w:rPr>
      </w:pPr>
      <w:r w:rsidRPr="00B46A4B">
        <w:rPr>
          <w:rFonts w:ascii="Arial" w:hAnsi="Arial" w:cs="Arial"/>
          <w:b/>
          <w:sz w:val="23"/>
          <w:szCs w:val="23"/>
        </w:rPr>
        <w:t>Dos Pregões Eletrônicos</w:t>
      </w:r>
      <w:r w:rsidR="002B7CEA">
        <w:rPr>
          <w:rFonts w:ascii="Arial" w:hAnsi="Arial" w:cs="Arial"/>
          <w:b/>
          <w:sz w:val="23"/>
          <w:szCs w:val="23"/>
        </w:rPr>
        <w:t xml:space="preserve"> destinados </w:t>
      </w:r>
      <w:r w:rsidR="00080F5E">
        <w:rPr>
          <w:rFonts w:ascii="Arial" w:hAnsi="Arial" w:cs="Arial"/>
          <w:b/>
          <w:sz w:val="23"/>
          <w:szCs w:val="23"/>
        </w:rPr>
        <w:t xml:space="preserve">à contratação do fornecimento de </w:t>
      </w:r>
      <w:r w:rsidR="002B7CEA">
        <w:rPr>
          <w:rFonts w:ascii="Arial" w:hAnsi="Arial" w:cs="Arial"/>
          <w:b/>
          <w:sz w:val="23"/>
          <w:szCs w:val="23"/>
        </w:rPr>
        <w:t>medicamentos</w:t>
      </w:r>
    </w:p>
    <w:p w:rsidR="00EE458E" w:rsidRDefault="00EE458E"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A CEI, em seu relatório final, teceu breves considerações acerca dos procedimentos destinados à aquisição de medicamentos, sem indicar com precisão eventuais irregularidades. Limitou-se a registrar que:</w:t>
      </w:r>
    </w:p>
    <w:p w:rsidR="00B51EB3" w:rsidRPr="00EE458E" w:rsidRDefault="00EE458E" w:rsidP="00EE458E">
      <w:pPr>
        <w:tabs>
          <w:tab w:val="left" w:pos="1418"/>
        </w:tabs>
        <w:spacing w:after="200"/>
        <w:ind w:left="2268"/>
        <w:jc w:val="both"/>
        <w:rPr>
          <w:rFonts w:ascii="Arial" w:hAnsi="Arial" w:cs="Arial"/>
          <w:sz w:val="20"/>
          <w:szCs w:val="20"/>
        </w:rPr>
      </w:pPr>
      <w:r w:rsidRPr="00EE458E">
        <w:rPr>
          <w:rFonts w:ascii="Arial" w:hAnsi="Arial" w:cs="Arial"/>
          <w:sz w:val="20"/>
          <w:szCs w:val="20"/>
        </w:rPr>
        <w:t>“</w:t>
      </w:r>
      <w:r>
        <w:rPr>
          <w:rFonts w:ascii="Arial" w:hAnsi="Arial" w:cs="Arial"/>
          <w:sz w:val="20"/>
          <w:szCs w:val="20"/>
        </w:rPr>
        <w:t xml:space="preserve">[...] </w:t>
      </w:r>
      <w:r w:rsidRPr="00EE458E">
        <w:rPr>
          <w:rFonts w:ascii="Arial" w:hAnsi="Arial" w:cs="Arial"/>
          <w:sz w:val="20"/>
          <w:szCs w:val="20"/>
        </w:rPr>
        <w:t>a empresa Comercial Cirúrgica Rioclarense Limitada, ou simplesmente ‘Rioclarense’, é uma das vencedoras do Pregão nº 18, promovido pela Prefeitura Municipal de Uberaba e relativo a aquisições de medicamentos, com o maior número de medicamento a ser fornecido junto ao Município, totalizando uma quantia de R$ 1.085.823,55, fato que inspira cuidados e uma apuração mais detalhada com tais fornecimentos de mercadorias e serviços, sendo necessária uma avaliação mais minuciosa quanto aos documentos correlatos às licitações e às dispensas realizadas pela Secretaria Municipal de Saúde, desde 2009 até o corrente ano</w:t>
      </w:r>
      <w:r>
        <w:rPr>
          <w:rFonts w:ascii="Arial" w:hAnsi="Arial" w:cs="Arial"/>
          <w:sz w:val="20"/>
          <w:szCs w:val="20"/>
        </w:rPr>
        <w:t xml:space="preserve"> [...]</w:t>
      </w:r>
      <w:r w:rsidRPr="00EE458E">
        <w:rPr>
          <w:rFonts w:ascii="Arial" w:hAnsi="Arial" w:cs="Arial"/>
          <w:sz w:val="20"/>
          <w:szCs w:val="20"/>
        </w:rPr>
        <w:t>”</w:t>
      </w:r>
      <w:r w:rsidR="008645F8">
        <w:rPr>
          <w:rStyle w:val="Refdenotaderodap"/>
          <w:rFonts w:ascii="Arial" w:hAnsi="Arial" w:cs="Arial"/>
          <w:sz w:val="20"/>
          <w:szCs w:val="20"/>
        </w:rPr>
        <w:footnoteReference w:id="6"/>
      </w:r>
      <w:r w:rsidRPr="00EE458E">
        <w:rPr>
          <w:rFonts w:ascii="Arial" w:hAnsi="Arial" w:cs="Arial"/>
          <w:sz w:val="20"/>
          <w:szCs w:val="20"/>
        </w:rPr>
        <w:t>.</w:t>
      </w:r>
    </w:p>
    <w:p w:rsidR="00F84723" w:rsidRDefault="008B58C9"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À vista da insuficiência documental pertinente aos fatos, foi determinada a remessa dos processos de Licitação nº 014/2009, 093/2009, 018/2011, 022/2011, 028/2011, 177/2011, 271/2011 e 132/2012, realizados sob a modalidade de pregão ele</w:t>
      </w:r>
      <w:r w:rsidR="00451786">
        <w:rPr>
          <w:rFonts w:ascii="Arial" w:hAnsi="Arial" w:cs="Arial"/>
          <w:sz w:val="23"/>
          <w:szCs w:val="23"/>
        </w:rPr>
        <w:t>trônico.</w:t>
      </w:r>
    </w:p>
    <w:p w:rsidR="00451786" w:rsidRDefault="00451786"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lastRenderedPageBreak/>
        <w:t>Tal documentação foi submetida à análise técnica, em que se concluiu que os procedimentos licitatórios não contaram com justificativas para a contratação e com Termo de Referência, além de vedarem imotivadamente a participação de empresas reunidas em consórcio.</w:t>
      </w:r>
    </w:p>
    <w:p w:rsidR="00451786" w:rsidRDefault="00451786"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A 4</w:t>
      </w:r>
      <w:r w:rsidR="00D85FA3">
        <w:rPr>
          <w:rFonts w:ascii="Arial" w:hAnsi="Arial" w:cs="Arial"/>
          <w:sz w:val="23"/>
          <w:szCs w:val="23"/>
        </w:rPr>
        <w:t>ª CFM destacou, na ocasião, que somente parte dos documentos alusivos às despesas executadas</w:t>
      </w:r>
      <w:r w:rsidR="001D7CE9">
        <w:rPr>
          <w:rFonts w:ascii="Arial" w:hAnsi="Arial" w:cs="Arial"/>
          <w:sz w:val="23"/>
          <w:szCs w:val="23"/>
        </w:rPr>
        <w:t xml:space="preserve"> foi encaminhada, </w:t>
      </w:r>
      <w:r w:rsidR="00BE58E8">
        <w:rPr>
          <w:rFonts w:ascii="Arial" w:hAnsi="Arial" w:cs="Arial"/>
          <w:sz w:val="23"/>
          <w:szCs w:val="23"/>
        </w:rPr>
        <w:t>n</w:t>
      </w:r>
      <w:r w:rsidR="001D7CE9">
        <w:rPr>
          <w:rFonts w:ascii="Arial" w:hAnsi="Arial" w:cs="Arial"/>
          <w:sz w:val="23"/>
          <w:szCs w:val="23"/>
        </w:rPr>
        <w:t>a qual se verific</w:t>
      </w:r>
      <w:r w:rsidR="00BE58E8">
        <w:rPr>
          <w:rFonts w:ascii="Arial" w:hAnsi="Arial" w:cs="Arial"/>
          <w:sz w:val="23"/>
          <w:szCs w:val="23"/>
        </w:rPr>
        <w:t>ou</w:t>
      </w:r>
      <w:r w:rsidR="001D7CE9">
        <w:rPr>
          <w:rFonts w:ascii="Arial" w:hAnsi="Arial" w:cs="Arial"/>
          <w:sz w:val="23"/>
          <w:szCs w:val="23"/>
        </w:rPr>
        <w:t xml:space="preserve"> o pagamento de R$ 350.421,33 à empresa Rioclarense, compatível com os valores unitários contratados.</w:t>
      </w:r>
    </w:p>
    <w:p w:rsidR="001D7CE9" w:rsidRDefault="00BE58E8"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No exame deste tema, que sabidamente é objeto de frequentes fraudes em contratos públicos, cumpre recordar que, em período contemporâneo ao narrado nos autos, foram veiculadas na imprensa inúmeras notícias acerca de ilicitude em licitações e superfaturamento na fase de execução dos contratos para fornecimento de medicamentos no Município de Uberaba, algumas extraídas da internet e anexadas ao presente parecer.</w:t>
      </w:r>
    </w:p>
    <w:p w:rsidR="00BE58E8" w:rsidRDefault="00BA72E1"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Tais notícias, aliás, culminaram na impetração de ações judiciais</w:t>
      </w:r>
      <w:r w:rsidR="00E45BB3">
        <w:rPr>
          <w:rFonts w:ascii="Arial" w:hAnsi="Arial" w:cs="Arial"/>
          <w:sz w:val="23"/>
          <w:szCs w:val="23"/>
        </w:rPr>
        <w:t xml:space="preserve"> no âmbito estadual e federal</w:t>
      </w:r>
      <w:r w:rsidR="00A326E6">
        <w:rPr>
          <w:rFonts w:ascii="Arial" w:hAnsi="Arial" w:cs="Arial"/>
          <w:sz w:val="23"/>
          <w:szCs w:val="23"/>
        </w:rPr>
        <w:t xml:space="preserve">, com graves imputações, inclusive de danos expressivos ao erário, </w:t>
      </w:r>
      <w:r w:rsidR="0060316A">
        <w:rPr>
          <w:rFonts w:ascii="Arial" w:hAnsi="Arial" w:cs="Arial"/>
          <w:sz w:val="23"/>
          <w:szCs w:val="23"/>
        </w:rPr>
        <w:t>com notícia de bloqueio de bens</w:t>
      </w:r>
      <w:r w:rsidR="00AE260E">
        <w:rPr>
          <w:rFonts w:ascii="Arial" w:hAnsi="Arial" w:cs="Arial"/>
          <w:sz w:val="23"/>
          <w:szCs w:val="23"/>
        </w:rPr>
        <w:t>, pedidos de prisão cautelar</w:t>
      </w:r>
      <w:r w:rsidR="0060316A">
        <w:rPr>
          <w:rFonts w:ascii="Arial" w:hAnsi="Arial" w:cs="Arial"/>
          <w:sz w:val="23"/>
          <w:szCs w:val="23"/>
        </w:rPr>
        <w:t xml:space="preserve"> e cassação de cargos dos responsáveis.</w:t>
      </w:r>
    </w:p>
    <w:p w:rsidR="00EB191D" w:rsidRDefault="00EB191D"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Em face </w:t>
      </w:r>
      <w:r w:rsidR="00B970EF">
        <w:rPr>
          <w:rFonts w:ascii="Arial" w:hAnsi="Arial" w:cs="Arial"/>
          <w:sz w:val="23"/>
          <w:szCs w:val="23"/>
        </w:rPr>
        <w:t>dos relatos</w:t>
      </w:r>
      <w:r>
        <w:rPr>
          <w:rFonts w:ascii="Arial" w:hAnsi="Arial" w:cs="Arial"/>
          <w:sz w:val="23"/>
          <w:szCs w:val="23"/>
        </w:rPr>
        <w:t>, que sugere</w:t>
      </w:r>
      <w:r w:rsidR="00B970EF">
        <w:rPr>
          <w:rFonts w:ascii="Arial" w:hAnsi="Arial" w:cs="Arial"/>
          <w:sz w:val="23"/>
          <w:szCs w:val="23"/>
        </w:rPr>
        <w:t>m</w:t>
      </w:r>
      <w:r>
        <w:rPr>
          <w:rFonts w:ascii="Arial" w:hAnsi="Arial" w:cs="Arial"/>
          <w:sz w:val="23"/>
          <w:szCs w:val="23"/>
        </w:rPr>
        <w:t xml:space="preserve"> </w:t>
      </w:r>
      <w:r w:rsidR="00E644BD">
        <w:rPr>
          <w:rFonts w:ascii="Arial" w:hAnsi="Arial" w:cs="Arial"/>
          <w:sz w:val="23"/>
          <w:szCs w:val="23"/>
        </w:rPr>
        <w:t>a ocorrência sistêmica de severas ilegalidades nos contratos para fornecimento de medicamentos, entendemos que a análise a ser empreendida no caso em tela demanda um enfoque menos específico do que o adotado, que se restringiu a formalidades do instrumento convocatório e a parte da execução contratual em relação a uma única contratada.</w:t>
      </w:r>
    </w:p>
    <w:p w:rsidR="00254E71" w:rsidRDefault="00E644BD"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sidRPr="00254E71">
        <w:rPr>
          <w:rFonts w:ascii="Arial" w:hAnsi="Arial" w:cs="Arial"/>
          <w:sz w:val="23"/>
          <w:szCs w:val="23"/>
        </w:rPr>
        <w:t xml:space="preserve">Com efeito, </w:t>
      </w:r>
      <w:r w:rsidR="00C8155F" w:rsidRPr="00254E71">
        <w:rPr>
          <w:rFonts w:ascii="Arial" w:hAnsi="Arial" w:cs="Arial"/>
          <w:sz w:val="23"/>
          <w:szCs w:val="23"/>
        </w:rPr>
        <w:t xml:space="preserve">em nosso sentir, </w:t>
      </w:r>
      <w:r w:rsidR="00254E71" w:rsidRPr="00254E71">
        <w:rPr>
          <w:rFonts w:ascii="Arial" w:hAnsi="Arial" w:cs="Arial"/>
          <w:sz w:val="23"/>
          <w:szCs w:val="23"/>
        </w:rPr>
        <w:t xml:space="preserve">uma atuação segura e completa nessa seara demanda a complementação da instrução, a fim de visualizar a situação em um contexto mais amplo, permitindo que a ação fiscalizatória desta Corte </w:t>
      </w:r>
      <w:r w:rsidR="00EF0C74">
        <w:rPr>
          <w:rFonts w:ascii="Arial" w:hAnsi="Arial" w:cs="Arial"/>
          <w:sz w:val="23"/>
          <w:szCs w:val="23"/>
        </w:rPr>
        <w:t>se direcione não para fatos isolados, mas para a globalidade da gestão da aquisição de medicamentos.</w:t>
      </w:r>
    </w:p>
    <w:p w:rsidR="00EF0C74" w:rsidRDefault="00EF0C74"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 xml:space="preserve">Para tanto, dada a diversidade de assuntos arguidos nos presentes autos, bem como o seu significativo volume, entendemos de melhor alvitre o desentranhamento da documentação relativa aos procedimentos destinados ao </w:t>
      </w:r>
      <w:r>
        <w:rPr>
          <w:rFonts w:ascii="Arial" w:hAnsi="Arial" w:cs="Arial"/>
          <w:sz w:val="23"/>
          <w:szCs w:val="23"/>
        </w:rPr>
        <w:lastRenderedPageBreak/>
        <w:t>fornecimento de medicamentos para a constituiçã</w:t>
      </w:r>
      <w:r w:rsidR="0091333D">
        <w:rPr>
          <w:rFonts w:ascii="Arial" w:hAnsi="Arial" w:cs="Arial"/>
          <w:sz w:val="23"/>
          <w:szCs w:val="23"/>
        </w:rPr>
        <w:t>o de processo apartado, cujo objeto contemplará a totalidade das contratações, e não apenas a da empresa Rioclarense.</w:t>
      </w:r>
    </w:p>
    <w:p w:rsidR="0091333D" w:rsidRPr="00254E71" w:rsidRDefault="0091333D"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Sugerimos, na oportunidade, que nesses novos autos seja oficiada a municipalidade para encaminhamento da documentação faltante, referente à execução contratual, bem com os órgãos do Poder Judiciário estadual e federal, para remessa de informações acerca da existência de ações judiciais com objeto semelhante, de decisões proferidas e eventuais perícias realizadas, que em muito podem contribuir para o esclarecimento dos fatos neste Tribunal.</w:t>
      </w:r>
    </w:p>
    <w:p w:rsidR="0083180A" w:rsidRPr="009A45C6" w:rsidRDefault="0083180A" w:rsidP="0083180A">
      <w:pPr>
        <w:tabs>
          <w:tab w:val="left" w:pos="1418"/>
        </w:tabs>
        <w:spacing w:after="200" w:line="360" w:lineRule="auto"/>
        <w:jc w:val="center"/>
        <w:rPr>
          <w:rFonts w:ascii="Arial" w:hAnsi="Arial" w:cs="Arial"/>
          <w:b/>
          <w:sz w:val="23"/>
          <w:szCs w:val="23"/>
          <w:u w:val="single"/>
        </w:rPr>
      </w:pPr>
      <w:r w:rsidRPr="009A45C6">
        <w:rPr>
          <w:rFonts w:ascii="Arial" w:hAnsi="Arial" w:cs="Arial"/>
          <w:b/>
          <w:sz w:val="23"/>
          <w:szCs w:val="23"/>
          <w:u w:val="single"/>
        </w:rPr>
        <w:t>CONCLUSÃO</w:t>
      </w:r>
    </w:p>
    <w:p w:rsidR="0080061E" w:rsidRDefault="009A45C6"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Pr>
          <w:rFonts w:ascii="Arial" w:hAnsi="Arial" w:cs="Arial"/>
          <w:sz w:val="23"/>
          <w:szCs w:val="23"/>
        </w:rPr>
        <w:t>Diante das ponderações expostas</w:t>
      </w:r>
      <w:r w:rsidR="0083180A" w:rsidRPr="009A45C6">
        <w:rPr>
          <w:rFonts w:ascii="Arial" w:hAnsi="Arial" w:cs="Arial"/>
          <w:sz w:val="23"/>
          <w:szCs w:val="23"/>
        </w:rPr>
        <w:t xml:space="preserve">, este Ministério Público opina </w:t>
      </w:r>
      <w:r>
        <w:rPr>
          <w:rFonts w:ascii="Arial" w:hAnsi="Arial" w:cs="Arial"/>
          <w:sz w:val="23"/>
          <w:szCs w:val="23"/>
        </w:rPr>
        <w:t xml:space="preserve">citação dos </w:t>
      </w:r>
      <w:r w:rsidRPr="009A45C6">
        <w:rPr>
          <w:rFonts w:ascii="Arial" w:hAnsi="Arial" w:cs="Arial"/>
          <w:sz w:val="23"/>
          <w:szCs w:val="23"/>
        </w:rPr>
        <w:t>Senhores João Ricardo Pessoa Vicente,</w:t>
      </w:r>
      <w:r>
        <w:rPr>
          <w:rFonts w:ascii="Arial" w:hAnsi="Arial" w:cs="Arial"/>
          <w:sz w:val="23"/>
          <w:szCs w:val="23"/>
        </w:rPr>
        <w:t xml:space="preserve"> ex-</w:t>
      </w:r>
      <w:r w:rsidRPr="00222F17">
        <w:rPr>
          <w:rFonts w:ascii="Arial" w:hAnsi="Arial" w:cs="Arial"/>
          <w:sz w:val="23"/>
          <w:szCs w:val="23"/>
        </w:rPr>
        <w:t>Superintendente de Serviços Urbanos e Estradas Municipais</w:t>
      </w:r>
      <w:r>
        <w:rPr>
          <w:rFonts w:ascii="Arial" w:hAnsi="Arial" w:cs="Arial"/>
          <w:sz w:val="23"/>
          <w:szCs w:val="23"/>
        </w:rPr>
        <w:t>;</w:t>
      </w:r>
      <w:r w:rsidRPr="009A45C6">
        <w:rPr>
          <w:rFonts w:ascii="Arial" w:hAnsi="Arial" w:cs="Arial"/>
          <w:sz w:val="23"/>
          <w:szCs w:val="23"/>
        </w:rPr>
        <w:t xml:space="preserve"> </w:t>
      </w:r>
      <w:r>
        <w:rPr>
          <w:rFonts w:ascii="Arial" w:hAnsi="Arial" w:cs="Arial"/>
          <w:sz w:val="23"/>
          <w:szCs w:val="23"/>
        </w:rPr>
        <w:t>José Eduardo Rodrigues da Cunha, ex-</w:t>
      </w:r>
      <w:r w:rsidR="00914258" w:rsidRPr="00222F17">
        <w:rPr>
          <w:rFonts w:ascii="Arial" w:hAnsi="Arial" w:cs="Arial"/>
          <w:sz w:val="23"/>
          <w:szCs w:val="23"/>
        </w:rPr>
        <w:t>Secretário de Infra-Estrutura</w:t>
      </w:r>
      <w:r w:rsidR="00914258">
        <w:rPr>
          <w:rFonts w:ascii="Arial" w:hAnsi="Arial" w:cs="Arial"/>
          <w:sz w:val="23"/>
          <w:szCs w:val="23"/>
        </w:rPr>
        <w:t>; Valdemar Hial, ex-Secretário de Saúde; e</w:t>
      </w:r>
      <w:r w:rsidRPr="009A45C6">
        <w:rPr>
          <w:rFonts w:ascii="Arial" w:hAnsi="Arial" w:cs="Arial"/>
          <w:sz w:val="23"/>
          <w:szCs w:val="23"/>
        </w:rPr>
        <w:t xml:space="preserve"> Anderson Adauto Pereira</w:t>
      </w:r>
      <w:r w:rsidRPr="00222F17">
        <w:rPr>
          <w:rFonts w:ascii="Arial" w:hAnsi="Arial" w:cs="Arial"/>
          <w:sz w:val="23"/>
          <w:szCs w:val="23"/>
        </w:rPr>
        <w:t xml:space="preserve">, </w:t>
      </w:r>
      <w:r w:rsidR="00914258">
        <w:rPr>
          <w:rFonts w:ascii="Arial" w:hAnsi="Arial" w:cs="Arial"/>
          <w:sz w:val="23"/>
          <w:szCs w:val="23"/>
        </w:rPr>
        <w:t>então Prefeito Municipal, para apresentarem defesa e esclarecimentos que entenderem pertinentes quanto às irregularidades aqui discriminadas.</w:t>
      </w:r>
    </w:p>
    <w:p w:rsidR="0080061E" w:rsidRDefault="00914258"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sidRPr="0080061E">
        <w:rPr>
          <w:rFonts w:ascii="Arial" w:hAnsi="Arial" w:cs="Arial"/>
          <w:sz w:val="23"/>
          <w:szCs w:val="23"/>
        </w:rPr>
        <w:t xml:space="preserve">Opina, ainda, pelo </w:t>
      </w:r>
      <w:r w:rsidR="0080061E" w:rsidRPr="0080061E">
        <w:rPr>
          <w:rFonts w:ascii="Arial" w:hAnsi="Arial" w:cs="Arial"/>
          <w:sz w:val="23"/>
          <w:szCs w:val="23"/>
        </w:rPr>
        <w:t xml:space="preserve">desentranhamento </w:t>
      </w:r>
      <w:r w:rsidR="0080061E">
        <w:rPr>
          <w:rFonts w:ascii="Arial" w:hAnsi="Arial" w:cs="Arial"/>
          <w:sz w:val="23"/>
          <w:szCs w:val="23"/>
        </w:rPr>
        <w:t xml:space="preserve">e remessa à Superintendência de Controle Externo </w:t>
      </w:r>
      <w:r w:rsidR="0080061E" w:rsidRPr="0080061E">
        <w:rPr>
          <w:rFonts w:ascii="Arial" w:hAnsi="Arial" w:cs="Arial"/>
          <w:sz w:val="23"/>
          <w:szCs w:val="23"/>
        </w:rPr>
        <w:t>da documentação relativa a: ausência de servidores e acomodações inadequadas em Postos de Saúde; questionamentos relativos ao Almoxarifado da Secretaria Municipal de Saúde; tempo de espera exagerado na “Fila Eletrônica”;</w:t>
      </w:r>
      <w:r w:rsidR="0080061E">
        <w:rPr>
          <w:rFonts w:ascii="Arial" w:hAnsi="Arial" w:cs="Arial"/>
          <w:sz w:val="23"/>
          <w:szCs w:val="23"/>
        </w:rPr>
        <w:t xml:space="preserve"> </w:t>
      </w:r>
      <w:r w:rsidR="0080061E" w:rsidRPr="0080061E">
        <w:rPr>
          <w:rFonts w:ascii="Arial" w:hAnsi="Arial" w:cs="Arial"/>
          <w:sz w:val="23"/>
          <w:szCs w:val="23"/>
        </w:rPr>
        <w:t>irregularidades constatadas  em unidades de saúde</w:t>
      </w:r>
      <w:r w:rsidR="0080061E">
        <w:rPr>
          <w:rFonts w:ascii="Arial" w:hAnsi="Arial" w:cs="Arial"/>
          <w:sz w:val="23"/>
          <w:szCs w:val="23"/>
        </w:rPr>
        <w:t>, para composição de matriz de risco ou adoção de ação de controle diversa.</w:t>
      </w:r>
    </w:p>
    <w:p w:rsidR="0080061E" w:rsidRDefault="0080061E"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sidRPr="0080061E">
        <w:rPr>
          <w:rFonts w:ascii="Arial" w:hAnsi="Arial" w:cs="Arial"/>
          <w:sz w:val="23"/>
          <w:szCs w:val="23"/>
        </w:rPr>
        <w:t>Sugere, por fim, o desentranhamento dos documentos pertinentes à aquisição de medicamentos, para constituição de autos apartados, nos quais deve ser complementada a instrução e julgada separadamente.</w:t>
      </w:r>
    </w:p>
    <w:p w:rsidR="0083180A" w:rsidRPr="0080061E" w:rsidRDefault="0083180A" w:rsidP="00FB39C4">
      <w:pPr>
        <w:numPr>
          <w:ilvl w:val="0"/>
          <w:numId w:val="1"/>
        </w:numPr>
        <w:tabs>
          <w:tab w:val="clear" w:pos="2808"/>
          <w:tab w:val="left" w:pos="1418"/>
        </w:tabs>
        <w:spacing w:after="200" w:line="360" w:lineRule="auto"/>
        <w:ind w:left="0" w:firstLine="0"/>
        <w:jc w:val="both"/>
        <w:rPr>
          <w:rFonts w:ascii="Arial" w:hAnsi="Arial" w:cs="Arial"/>
          <w:sz w:val="23"/>
          <w:szCs w:val="23"/>
        </w:rPr>
      </w:pPr>
      <w:r w:rsidRPr="0080061E">
        <w:rPr>
          <w:rFonts w:ascii="Arial" w:hAnsi="Arial" w:cs="Arial"/>
          <w:sz w:val="23"/>
          <w:szCs w:val="23"/>
        </w:rPr>
        <w:t>É o parecer.</w:t>
      </w:r>
    </w:p>
    <w:p w:rsidR="0083180A" w:rsidRPr="00ED41E0" w:rsidRDefault="0083180A" w:rsidP="005D4AB5">
      <w:pPr>
        <w:tabs>
          <w:tab w:val="left" w:pos="1418"/>
        </w:tabs>
        <w:spacing w:after="120" w:line="360" w:lineRule="auto"/>
        <w:ind w:left="1701"/>
        <w:jc w:val="both"/>
        <w:rPr>
          <w:rFonts w:ascii="Arial" w:hAnsi="Arial" w:cs="Arial"/>
          <w:b/>
          <w:sz w:val="23"/>
          <w:szCs w:val="23"/>
        </w:rPr>
      </w:pPr>
      <w:r w:rsidRPr="00D50DC3">
        <w:rPr>
          <w:rFonts w:ascii="Arial" w:hAnsi="Arial" w:cs="Arial"/>
          <w:sz w:val="23"/>
          <w:szCs w:val="23"/>
        </w:rPr>
        <w:t xml:space="preserve">Belo Horizonte, </w:t>
      </w:r>
      <w:r w:rsidR="006D56C5">
        <w:rPr>
          <w:rFonts w:ascii="Arial" w:hAnsi="Arial" w:cs="Arial"/>
          <w:sz w:val="23"/>
          <w:szCs w:val="23"/>
        </w:rPr>
        <w:t>25</w:t>
      </w:r>
      <w:r>
        <w:rPr>
          <w:rFonts w:ascii="Arial" w:hAnsi="Arial" w:cs="Arial"/>
          <w:sz w:val="23"/>
          <w:szCs w:val="23"/>
        </w:rPr>
        <w:t xml:space="preserve"> </w:t>
      </w:r>
      <w:r w:rsidR="00722DC0">
        <w:rPr>
          <w:rFonts w:ascii="Arial" w:hAnsi="Arial" w:cs="Arial"/>
          <w:sz w:val="23"/>
          <w:szCs w:val="23"/>
        </w:rPr>
        <w:t>de setembro</w:t>
      </w:r>
      <w:r w:rsidRPr="00D50DC3">
        <w:rPr>
          <w:rFonts w:ascii="Arial" w:hAnsi="Arial" w:cs="Arial"/>
          <w:sz w:val="23"/>
          <w:szCs w:val="23"/>
        </w:rPr>
        <w:t xml:space="preserve"> de 2015.</w:t>
      </w:r>
    </w:p>
    <w:p w:rsidR="005D4AB5" w:rsidRDefault="005D4AB5" w:rsidP="0083180A">
      <w:pPr>
        <w:tabs>
          <w:tab w:val="left" w:pos="8357"/>
        </w:tabs>
        <w:jc w:val="center"/>
        <w:rPr>
          <w:rFonts w:ascii="Arial" w:hAnsi="Arial" w:cs="Arial"/>
          <w:b/>
          <w:sz w:val="23"/>
          <w:szCs w:val="23"/>
        </w:rPr>
      </w:pPr>
    </w:p>
    <w:p w:rsidR="0083180A" w:rsidRPr="00ED41E0" w:rsidRDefault="0083180A" w:rsidP="0083180A">
      <w:pPr>
        <w:tabs>
          <w:tab w:val="left" w:pos="8357"/>
        </w:tabs>
        <w:jc w:val="center"/>
        <w:rPr>
          <w:rFonts w:ascii="Arial" w:hAnsi="Arial" w:cs="Arial"/>
          <w:b/>
          <w:sz w:val="23"/>
          <w:szCs w:val="23"/>
        </w:rPr>
      </w:pPr>
      <w:r w:rsidRPr="00ED41E0">
        <w:rPr>
          <w:rFonts w:ascii="Arial" w:hAnsi="Arial" w:cs="Arial"/>
          <w:b/>
          <w:sz w:val="23"/>
          <w:szCs w:val="23"/>
        </w:rPr>
        <w:t>Sara Meinberg</w:t>
      </w:r>
    </w:p>
    <w:p w:rsidR="00262A2C" w:rsidRPr="00EC089D" w:rsidRDefault="0083180A" w:rsidP="00F43D68">
      <w:pPr>
        <w:tabs>
          <w:tab w:val="left" w:pos="8357"/>
        </w:tabs>
        <w:jc w:val="center"/>
      </w:pPr>
      <w:r w:rsidRPr="00ED41E0">
        <w:rPr>
          <w:rFonts w:ascii="Arial" w:hAnsi="Arial" w:cs="Arial"/>
          <w:sz w:val="23"/>
          <w:szCs w:val="23"/>
        </w:rPr>
        <w:t>Procuradora do Ministério Público de Contas</w:t>
      </w:r>
    </w:p>
    <w:sectPr w:rsidR="00262A2C" w:rsidRPr="00EC089D" w:rsidSect="00857942">
      <w:headerReference w:type="default" r:id="rId8"/>
      <w:footerReference w:type="default" r:id="rId9"/>
      <w:pgSz w:w="11906" w:h="16838" w:code="9"/>
      <w:pgMar w:top="782" w:right="1701" w:bottom="1276" w:left="1134" w:header="680" w:footer="680" w:gutter="0"/>
      <w:pgNumType w:start="48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08A" w:rsidRDefault="00CA208A" w:rsidP="00995224">
      <w:r>
        <w:separator/>
      </w:r>
    </w:p>
  </w:endnote>
  <w:endnote w:type="continuationSeparator" w:id="0">
    <w:p w:rsidR="00CA208A" w:rsidRDefault="00CA208A" w:rsidP="00995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FFFF" w:usb2="FFC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22" w:rsidRPr="007A78ED" w:rsidRDefault="00081D22" w:rsidP="004F6959">
    <w:pPr>
      <w:pStyle w:val="Rodap"/>
      <w:tabs>
        <w:tab w:val="clear" w:pos="4252"/>
        <w:tab w:val="clear" w:pos="8504"/>
        <w:tab w:val="center" w:pos="4535"/>
      </w:tabs>
      <w:rPr>
        <w:sz w:val="16"/>
        <w:szCs w:val="16"/>
      </w:rPr>
    </w:pPr>
    <w:r>
      <w:rPr>
        <w:sz w:val="16"/>
        <w:szCs w:val="16"/>
      </w:rPr>
      <w:t>880.647 mba</w:t>
    </w:r>
    <w:r>
      <w:rP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08A" w:rsidRDefault="00CA208A" w:rsidP="00995224">
      <w:r>
        <w:separator/>
      </w:r>
    </w:p>
  </w:footnote>
  <w:footnote w:type="continuationSeparator" w:id="0">
    <w:p w:rsidR="00CA208A" w:rsidRDefault="00CA208A" w:rsidP="00995224">
      <w:r>
        <w:continuationSeparator/>
      </w:r>
    </w:p>
  </w:footnote>
  <w:footnote w:id="1">
    <w:p w:rsidR="00081D22" w:rsidRPr="00DF57C0" w:rsidRDefault="00081D22" w:rsidP="00DF57C0">
      <w:pPr>
        <w:pStyle w:val="Textodenotaderodap"/>
        <w:jc w:val="both"/>
        <w:rPr>
          <w:rFonts w:ascii="Arial" w:hAnsi="Arial" w:cs="Arial"/>
        </w:rPr>
      </w:pPr>
      <w:r w:rsidRPr="00DF57C0">
        <w:rPr>
          <w:rStyle w:val="Refdenotaderodap"/>
          <w:rFonts w:ascii="Arial" w:hAnsi="Arial" w:cs="Arial"/>
        </w:rPr>
        <w:footnoteRef/>
      </w:r>
      <w:r w:rsidRPr="00DF57C0">
        <w:rPr>
          <w:rFonts w:ascii="Arial" w:hAnsi="Arial" w:cs="Arial"/>
        </w:rPr>
        <w:t xml:space="preserve"> FERNANDES, Jorge Ulysses Jacoby. Tribunal de Contas do Brasil: Jurisdição e Competência. 2ª ed. Belo Horizonte:</w:t>
      </w:r>
      <w:r>
        <w:rPr>
          <w:rFonts w:ascii="Arial" w:hAnsi="Arial" w:cs="Arial"/>
        </w:rPr>
        <w:t xml:space="preserve"> </w:t>
      </w:r>
      <w:r w:rsidRPr="00DF57C0">
        <w:rPr>
          <w:rFonts w:ascii="Arial" w:hAnsi="Arial" w:cs="Arial"/>
        </w:rPr>
        <w:t>Fórum, 2005, p.265.</w:t>
      </w:r>
    </w:p>
  </w:footnote>
  <w:footnote w:id="2">
    <w:p w:rsidR="00081D22" w:rsidRPr="00202610" w:rsidRDefault="00081D22" w:rsidP="002C3187">
      <w:pPr>
        <w:pStyle w:val="Textodenotaderodap"/>
        <w:jc w:val="both"/>
        <w:rPr>
          <w:rFonts w:ascii="Arial" w:hAnsi="Arial" w:cs="Arial"/>
        </w:rPr>
      </w:pPr>
      <w:r w:rsidRPr="002C3187">
        <w:rPr>
          <w:rStyle w:val="Refdenotaderodap"/>
          <w:rFonts w:ascii="Arial" w:hAnsi="Arial" w:cs="Arial"/>
        </w:rPr>
        <w:footnoteRef/>
      </w:r>
      <w:r w:rsidRPr="002C3187">
        <w:rPr>
          <w:rFonts w:ascii="Arial" w:hAnsi="Arial" w:cs="Arial"/>
        </w:rPr>
        <w:t xml:space="preserve"> </w:t>
      </w:r>
      <w:r>
        <w:rPr>
          <w:rFonts w:ascii="Arial" w:hAnsi="Arial" w:cs="Arial"/>
        </w:rPr>
        <w:t xml:space="preserve">Tribunal de Contas da União. </w:t>
      </w:r>
      <w:r w:rsidRPr="00421887">
        <w:rPr>
          <w:rFonts w:ascii="Arial" w:hAnsi="Arial" w:cs="Arial"/>
          <w:lang w:val="en-US"/>
        </w:rPr>
        <w:t xml:space="preserve">AC 1563-40/04-P. Rel. Min. Augusto Sherman Cavalcanti. </w:t>
      </w:r>
      <w:r w:rsidRPr="00202610">
        <w:rPr>
          <w:rFonts w:ascii="Arial" w:hAnsi="Arial" w:cs="Arial"/>
        </w:rPr>
        <w:t>Sessão de 06/10/2004. Grifos aditados.</w:t>
      </w:r>
    </w:p>
  </w:footnote>
  <w:footnote w:id="3">
    <w:p w:rsidR="00081D22" w:rsidRPr="00925993" w:rsidRDefault="00081D22" w:rsidP="00925993">
      <w:pPr>
        <w:pStyle w:val="Textodenotaderodap"/>
        <w:jc w:val="both"/>
        <w:rPr>
          <w:rFonts w:ascii="Arial" w:hAnsi="Arial" w:cs="Arial"/>
        </w:rPr>
      </w:pPr>
      <w:r w:rsidRPr="00925993">
        <w:rPr>
          <w:rStyle w:val="Refdenotaderodap"/>
          <w:rFonts w:ascii="Arial" w:hAnsi="Arial" w:cs="Arial"/>
        </w:rPr>
        <w:footnoteRef/>
      </w:r>
      <w:r w:rsidRPr="00925993">
        <w:rPr>
          <w:rFonts w:ascii="Arial" w:hAnsi="Arial" w:cs="Arial"/>
        </w:rPr>
        <w:t xml:space="preserve"> </w:t>
      </w:r>
      <w:r>
        <w:rPr>
          <w:rFonts w:ascii="Arial" w:hAnsi="Arial" w:cs="Arial"/>
        </w:rPr>
        <w:t>Tribunal de Contas da União. AC 1094-14/14-P. Rel. Min. José Múcio Monteiro. Sessão de 30/04/2014. Grifos aditados.</w:t>
      </w:r>
    </w:p>
  </w:footnote>
  <w:footnote w:id="4">
    <w:p w:rsidR="00081D22" w:rsidRPr="00196F2E" w:rsidRDefault="00081D22" w:rsidP="00196F2E">
      <w:pPr>
        <w:pStyle w:val="Textodenotaderodap"/>
        <w:jc w:val="both"/>
        <w:rPr>
          <w:rFonts w:ascii="Arial" w:hAnsi="Arial" w:cs="Arial"/>
        </w:rPr>
      </w:pPr>
      <w:r w:rsidRPr="00196F2E">
        <w:rPr>
          <w:rStyle w:val="Refdenotaderodap"/>
          <w:rFonts w:ascii="Arial" w:hAnsi="Arial" w:cs="Arial"/>
        </w:rPr>
        <w:footnoteRef/>
      </w:r>
      <w:r w:rsidRPr="00196F2E">
        <w:rPr>
          <w:rFonts w:ascii="Arial" w:hAnsi="Arial" w:cs="Arial"/>
        </w:rPr>
        <w:t xml:space="preserve"> </w:t>
      </w:r>
      <w:r>
        <w:rPr>
          <w:rFonts w:ascii="Arial" w:hAnsi="Arial" w:cs="Arial"/>
        </w:rPr>
        <w:t>Tribunal de Contas do Estado de Minas Gerais. Tribunal Pleno. Consulta nº 761.137. Rel. Cons. Antônio Carlos Andrada. Sessão de 24/09/2008. Grifos aditados.</w:t>
      </w:r>
    </w:p>
  </w:footnote>
  <w:footnote w:id="5">
    <w:p w:rsidR="00081D22" w:rsidRPr="00861F21" w:rsidRDefault="00081D22" w:rsidP="00861F21">
      <w:pPr>
        <w:pStyle w:val="Textodenotaderodap"/>
        <w:jc w:val="both"/>
        <w:rPr>
          <w:rFonts w:ascii="Arial" w:hAnsi="Arial" w:cs="Arial"/>
        </w:rPr>
      </w:pPr>
      <w:r w:rsidRPr="00861F21">
        <w:rPr>
          <w:rStyle w:val="Refdenotaderodap"/>
          <w:rFonts w:ascii="Arial" w:hAnsi="Arial" w:cs="Arial"/>
        </w:rPr>
        <w:footnoteRef/>
      </w:r>
      <w:r w:rsidRPr="00861F21">
        <w:rPr>
          <w:rFonts w:ascii="Arial" w:hAnsi="Arial" w:cs="Arial"/>
        </w:rPr>
        <w:t xml:space="preserve"> </w:t>
      </w:r>
      <w:r>
        <w:rPr>
          <w:rFonts w:ascii="Arial" w:hAnsi="Arial" w:cs="Arial"/>
        </w:rPr>
        <w:t>Tribunal de Contas da União. AC 3136-52/11-P. Rel. Min. Augusto Nardes. Sessão de 30/11/2011. Grifos aditados.</w:t>
      </w:r>
    </w:p>
  </w:footnote>
  <w:footnote w:id="6">
    <w:p w:rsidR="00081D22" w:rsidRPr="008645F8" w:rsidRDefault="00081D22" w:rsidP="008645F8">
      <w:pPr>
        <w:pStyle w:val="Textodenotaderodap"/>
        <w:jc w:val="both"/>
        <w:rPr>
          <w:rFonts w:ascii="Arial" w:hAnsi="Arial" w:cs="Arial"/>
        </w:rPr>
      </w:pPr>
      <w:r w:rsidRPr="008645F8">
        <w:rPr>
          <w:rStyle w:val="Refdenotaderodap"/>
          <w:rFonts w:ascii="Arial" w:hAnsi="Arial" w:cs="Arial"/>
        </w:rPr>
        <w:footnoteRef/>
      </w:r>
      <w:r w:rsidRPr="008645F8">
        <w:rPr>
          <w:rFonts w:ascii="Arial" w:hAnsi="Arial" w:cs="Arial"/>
        </w:rPr>
        <w:t xml:space="preserve"> </w:t>
      </w:r>
      <w:r>
        <w:rPr>
          <w:rFonts w:ascii="Arial" w:hAnsi="Arial" w:cs="Arial"/>
        </w:rPr>
        <w:t>Fl. 49, vol.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1" w:type="dxa"/>
      <w:tblLayout w:type="fixed"/>
      <w:tblCellMar>
        <w:left w:w="70" w:type="dxa"/>
        <w:right w:w="70" w:type="dxa"/>
      </w:tblCellMar>
      <w:tblLook w:val="0000"/>
    </w:tblPr>
    <w:tblGrid>
      <w:gridCol w:w="7870"/>
      <w:gridCol w:w="1341"/>
    </w:tblGrid>
    <w:tr w:rsidR="00081D22" w:rsidTr="004F6959">
      <w:trPr>
        <w:trHeight w:val="852"/>
      </w:trPr>
      <w:tc>
        <w:tcPr>
          <w:tcW w:w="7870" w:type="dxa"/>
        </w:tcPr>
        <w:p w:rsidR="00081D22" w:rsidRDefault="00081D22">
          <w:pPr>
            <w:pStyle w:val="Cabealho"/>
            <w:rPr>
              <w:sz w:val="16"/>
            </w:rPr>
          </w:pPr>
          <w:r>
            <w:t xml:space="preserve">                                                     </w:t>
          </w:r>
          <w:r w:rsidRPr="00954ED0">
            <w:rPr>
              <w:noProof/>
            </w:rPr>
            <w:drawing>
              <wp:inline distT="0" distB="0" distL="0" distR="0">
                <wp:extent cx="758825" cy="724535"/>
                <wp:effectExtent l="19050" t="0" r="317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58825" cy="724535"/>
                        </a:xfrm>
                        <a:prstGeom prst="rect">
                          <a:avLst/>
                        </a:prstGeom>
                        <a:noFill/>
                        <a:ln w="9525">
                          <a:noFill/>
                          <a:miter lim="800000"/>
                          <a:headEnd/>
                          <a:tailEnd/>
                        </a:ln>
                      </pic:spPr>
                    </pic:pic>
                  </a:graphicData>
                </a:graphic>
              </wp:inline>
            </w:drawing>
          </w:r>
        </w:p>
      </w:tc>
      <w:tc>
        <w:tcPr>
          <w:tcW w:w="1341" w:type="dxa"/>
        </w:tcPr>
        <w:p w:rsidR="00081D22" w:rsidRDefault="00081D22">
          <w:pPr>
            <w:jc w:val="center"/>
            <w:rPr>
              <w:sz w:val="16"/>
            </w:rPr>
          </w:pPr>
        </w:p>
        <w:p w:rsidR="00081D22" w:rsidRDefault="00081D22" w:rsidP="004F6959">
          <w:pPr>
            <w:pStyle w:val="Cabealho"/>
            <w:jc w:val="center"/>
            <w:rPr>
              <w:sz w:val="16"/>
            </w:rPr>
          </w:pPr>
        </w:p>
      </w:tc>
    </w:tr>
    <w:tr w:rsidR="00081D22" w:rsidTr="004F6959">
      <w:tc>
        <w:tcPr>
          <w:tcW w:w="9211" w:type="dxa"/>
          <w:gridSpan w:val="2"/>
        </w:tcPr>
        <w:p w:rsidR="00081D22" w:rsidRDefault="00081D22" w:rsidP="004F6959">
          <w:pPr>
            <w:pStyle w:val="Cabealho"/>
            <w:spacing w:before="120"/>
            <w:jc w:val="center"/>
            <w:rPr>
              <w:b/>
              <w:sz w:val="20"/>
            </w:rPr>
          </w:pPr>
          <w:r>
            <w:rPr>
              <w:b/>
              <w:sz w:val="20"/>
            </w:rPr>
            <w:t>MINISTÉRIO PÚBLICO DE CONTAS DO ESTADO DE MINAS GERAIS</w:t>
          </w:r>
        </w:p>
        <w:p w:rsidR="00081D22" w:rsidRDefault="00081D22" w:rsidP="004F6959">
          <w:pPr>
            <w:pStyle w:val="Cabealho"/>
            <w:spacing w:before="120"/>
            <w:jc w:val="center"/>
            <w:rPr>
              <w:sz w:val="16"/>
            </w:rPr>
          </w:pPr>
          <w:r>
            <w:rPr>
              <w:b/>
              <w:sz w:val="20"/>
            </w:rPr>
            <w:t>Gabinete da Procuradora Sara Meinberg</w:t>
          </w:r>
        </w:p>
      </w:tc>
    </w:tr>
  </w:tbl>
  <w:p w:rsidR="00081D22" w:rsidRDefault="00081D22">
    <w:pPr>
      <w:pStyle w:val="Cabealho"/>
      <w:rPr>
        <w:b/>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1C03920"/>
    <w:name w:val="WW8Num34"/>
    <w:lvl w:ilvl="0">
      <w:start w:val="1"/>
      <w:numFmt w:val="decimal"/>
      <w:lvlText w:val="%1."/>
      <w:lvlJc w:val="left"/>
      <w:pPr>
        <w:tabs>
          <w:tab w:val="num" w:pos="2808"/>
        </w:tabs>
        <w:ind w:left="2808" w:hanging="397"/>
      </w:pPr>
      <w:rPr>
        <w:b w:val="0"/>
        <w:i w:val="0"/>
        <w:strike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4B1204"/>
    <w:multiLevelType w:val="hybridMultilevel"/>
    <w:tmpl w:val="824ABB42"/>
    <w:lvl w:ilvl="0" w:tplc="317851E8">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03A04F0F"/>
    <w:multiLevelType w:val="multilevel"/>
    <w:tmpl w:val="6ED0B4D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783813"/>
    <w:multiLevelType w:val="hybridMultilevel"/>
    <w:tmpl w:val="EDEE5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9F80828"/>
    <w:multiLevelType w:val="hybridMultilevel"/>
    <w:tmpl w:val="385A5B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F8F6B68"/>
    <w:multiLevelType w:val="hybridMultilevel"/>
    <w:tmpl w:val="B07E6D50"/>
    <w:lvl w:ilvl="0" w:tplc="04160001">
      <w:start w:val="1"/>
      <w:numFmt w:val="bullet"/>
      <w:lvlText w:val=""/>
      <w:lvlJc w:val="left"/>
      <w:pPr>
        <w:ind w:left="2133" w:hanging="360"/>
      </w:pPr>
      <w:rPr>
        <w:rFonts w:ascii="Symbol" w:hAnsi="Symbol" w:hint="default"/>
      </w:rPr>
    </w:lvl>
    <w:lvl w:ilvl="1" w:tplc="04160003" w:tentative="1">
      <w:start w:val="1"/>
      <w:numFmt w:val="bullet"/>
      <w:lvlText w:val="o"/>
      <w:lvlJc w:val="left"/>
      <w:pPr>
        <w:ind w:left="2853" w:hanging="360"/>
      </w:pPr>
      <w:rPr>
        <w:rFonts w:ascii="Courier New" w:hAnsi="Courier New" w:cs="Courier New" w:hint="default"/>
      </w:rPr>
    </w:lvl>
    <w:lvl w:ilvl="2" w:tplc="04160005" w:tentative="1">
      <w:start w:val="1"/>
      <w:numFmt w:val="bullet"/>
      <w:lvlText w:val=""/>
      <w:lvlJc w:val="left"/>
      <w:pPr>
        <w:ind w:left="3573" w:hanging="360"/>
      </w:pPr>
      <w:rPr>
        <w:rFonts w:ascii="Wingdings" w:hAnsi="Wingdings" w:hint="default"/>
      </w:rPr>
    </w:lvl>
    <w:lvl w:ilvl="3" w:tplc="04160001" w:tentative="1">
      <w:start w:val="1"/>
      <w:numFmt w:val="bullet"/>
      <w:lvlText w:val=""/>
      <w:lvlJc w:val="left"/>
      <w:pPr>
        <w:ind w:left="4293" w:hanging="360"/>
      </w:pPr>
      <w:rPr>
        <w:rFonts w:ascii="Symbol" w:hAnsi="Symbol" w:hint="default"/>
      </w:rPr>
    </w:lvl>
    <w:lvl w:ilvl="4" w:tplc="04160003" w:tentative="1">
      <w:start w:val="1"/>
      <w:numFmt w:val="bullet"/>
      <w:lvlText w:val="o"/>
      <w:lvlJc w:val="left"/>
      <w:pPr>
        <w:ind w:left="5013" w:hanging="360"/>
      </w:pPr>
      <w:rPr>
        <w:rFonts w:ascii="Courier New" w:hAnsi="Courier New" w:cs="Courier New" w:hint="default"/>
      </w:rPr>
    </w:lvl>
    <w:lvl w:ilvl="5" w:tplc="04160005" w:tentative="1">
      <w:start w:val="1"/>
      <w:numFmt w:val="bullet"/>
      <w:lvlText w:val=""/>
      <w:lvlJc w:val="left"/>
      <w:pPr>
        <w:ind w:left="5733" w:hanging="360"/>
      </w:pPr>
      <w:rPr>
        <w:rFonts w:ascii="Wingdings" w:hAnsi="Wingdings" w:hint="default"/>
      </w:rPr>
    </w:lvl>
    <w:lvl w:ilvl="6" w:tplc="04160001" w:tentative="1">
      <w:start w:val="1"/>
      <w:numFmt w:val="bullet"/>
      <w:lvlText w:val=""/>
      <w:lvlJc w:val="left"/>
      <w:pPr>
        <w:ind w:left="6453" w:hanging="360"/>
      </w:pPr>
      <w:rPr>
        <w:rFonts w:ascii="Symbol" w:hAnsi="Symbol" w:hint="default"/>
      </w:rPr>
    </w:lvl>
    <w:lvl w:ilvl="7" w:tplc="04160003" w:tentative="1">
      <w:start w:val="1"/>
      <w:numFmt w:val="bullet"/>
      <w:lvlText w:val="o"/>
      <w:lvlJc w:val="left"/>
      <w:pPr>
        <w:ind w:left="7173" w:hanging="360"/>
      </w:pPr>
      <w:rPr>
        <w:rFonts w:ascii="Courier New" w:hAnsi="Courier New" w:cs="Courier New" w:hint="default"/>
      </w:rPr>
    </w:lvl>
    <w:lvl w:ilvl="8" w:tplc="04160005" w:tentative="1">
      <w:start w:val="1"/>
      <w:numFmt w:val="bullet"/>
      <w:lvlText w:val=""/>
      <w:lvlJc w:val="left"/>
      <w:pPr>
        <w:ind w:left="7893"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hideSpellingErrors/>
  <w:hideGrammaticalErrors/>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995224"/>
    <w:rsid w:val="00001E0F"/>
    <w:rsid w:val="00002A6B"/>
    <w:rsid w:val="00012525"/>
    <w:rsid w:val="000137F4"/>
    <w:rsid w:val="00016177"/>
    <w:rsid w:val="0001670F"/>
    <w:rsid w:val="000260F5"/>
    <w:rsid w:val="000262FB"/>
    <w:rsid w:val="00030028"/>
    <w:rsid w:val="00031206"/>
    <w:rsid w:val="00034A2A"/>
    <w:rsid w:val="0003732A"/>
    <w:rsid w:val="00041562"/>
    <w:rsid w:val="00051EBE"/>
    <w:rsid w:val="000570CC"/>
    <w:rsid w:val="000638A6"/>
    <w:rsid w:val="00064203"/>
    <w:rsid w:val="00067F8E"/>
    <w:rsid w:val="00072620"/>
    <w:rsid w:val="00072DBC"/>
    <w:rsid w:val="00080F5E"/>
    <w:rsid w:val="00081D22"/>
    <w:rsid w:val="00083093"/>
    <w:rsid w:val="00083B23"/>
    <w:rsid w:val="00086CA9"/>
    <w:rsid w:val="00087D6A"/>
    <w:rsid w:val="00090857"/>
    <w:rsid w:val="00096B72"/>
    <w:rsid w:val="000B34DE"/>
    <w:rsid w:val="000B48C7"/>
    <w:rsid w:val="000B6523"/>
    <w:rsid w:val="000B6601"/>
    <w:rsid w:val="000B7F02"/>
    <w:rsid w:val="000C05AD"/>
    <w:rsid w:val="000C0734"/>
    <w:rsid w:val="000C424B"/>
    <w:rsid w:val="000D2E82"/>
    <w:rsid w:val="000D3CF5"/>
    <w:rsid w:val="000D4734"/>
    <w:rsid w:val="000F67B5"/>
    <w:rsid w:val="000F7A3F"/>
    <w:rsid w:val="000F7E31"/>
    <w:rsid w:val="0010450D"/>
    <w:rsid w:val="00105040"/>
    <w:rsid w:val="00106C88"/>
    <w:rsid w:val="00106E24"/>
    <w:rsid w:val="00111D5C"/>
    <w:rsid w:val="00115C34"/>
    <w:rsid w:val="001168C4"/>
    <w:rsid w:val="001216B6"/>
    <w:rsid w:val="001229A0"/>
    <w:rsid w:val="00123F92"/>
    <w:rsid w:val="00126617"/>
    <w:rsid w:val="001403B6"/>
    <w:rsid w:val="00142062"/>
    <w:rsid w:val="00145F59"/>
    <w:rsid w:val="0016282F"/>
    <w:rsid w:val="0016359C"/>
    <w:rsid w:val="00171367"/>
    <w:rsid w:val="00171628"/>
    <w:rsid w:val="0017258B"/>
    <w:rsid w:val="001745E6"/>
    <w:rsid w:val="001827B7"/>
    <w:rsid w:val="0018288B"/>
    <w:rsid w:val="00193D95"/>
    <w:rsid w:val="00196F2E"/>
    <w:rsid w:val="001A1ACA"/>
    <w:rsid w:val="001A2B48"/>
    <w:rsid w:val="001A5B1C"/>
    <w:rsid w:val="001B1A4E"/>
    <w:rsid w:val="001B6BA5"/>
    <w:rsid w:val="001C3FC0"/>
    <w:rsid w:val="001C4921"/>
    <w:rsid w:val="001C5F5A"/>
    <w:rsid w:val="001D2F30"/>
    <w:rsid w:val="001D37BE"/>
    <w:rsid w:val="001D7786"/>
    <w:rsid w:val="001D7A66"/>
    <w:rsid w:val="001D7CE9"/>
    <w:rsid w:val="001E6F19"/>
    <w:rsid w:val="001E7D2D"/>
    <w:rsid w:val="001F0E2F"/>
    <w:rsid w:val="00202610"/>
    <w:rsid w:val="00202CD4"/>
    <w:rsid w:val="00206EF0"/>
    <w:rsid w:val="00206EF7"/>
    <w:rsid w:val="002145F6"/>
    <w:rsid w:val="00215B19"/>
    <w:rsid w:val="00222F17"/>
    <w:rsid w:val="00226E0D"/>
    <w:rsid w:val="00227E11"/>
    <w:rsid w:val="00227E3F"/>
    <w:rsid w:val="002302F3"/>
    <w:rsid w:val="00232E99"/>
    <w:rsid w:val="0024163B"/>
    <w:rsid w:val="00241C62"/>
    <w:rsid w:val="00254E71"/>
    <w:rsid w:val="00262A2C"/>
    <w:rsid w:val="002752FC"/>
    <w:rsid w:val="00282B49"/>
    <w:rsid w:val="00285A3B"/>
    <w:rsid w:val="00287FFA"/>
    <w:rsid w:val="002938AF"/>
    <w:rsid w:val="00294831"/>
    <w:rsid w:val="00297B6C"/>
    <w:rsid w:val="002A14CC"/>
    <w:rsid w:val="002A39F2"/>
    <w:rsid w:val="002B44DF"/>
    <w:rsid w:val="002B4ABD"/>
    <w:rsid w:val="002B5416"/>
    <w:rsid w:val="002B7CEA"/>
    <w:rsid w:val="002C3187"/>
    <w:rsid w:val="002D217E"/>
    <w:rsid w:val="002D253E"/>
    <w:rsid w:val="002D768F"/>
    <w:rsid w:val="002E2FDE"/>
    <w:rsid w:val="002F4C69"/>
    <w:rsid w:val="002F5F56"/>
    <w:rsid w:val="0030365B"/>
    <w:rsid w:val="00310D0B"/>
    <w:rsid w:val="003305DA"/>
    <w:rsid w:val="0033368E"/>
    <w:rsid w:val="00333F00"/>
    <w:rsid w:val="00340611"/>
    <w:rsid w:val="0034596E"/>
    <w:rsid w:val="0034601D"/>
    <w:rsid w:val="00347394"/>
    <w:rsid w:val="00350587"/>
    <w:rsid w:val="00360A18"/>
    <w:rsid w:val="00364786"/>
    <w:rsid w:val="00372788"/>
    <w:rsid w:val="00373530"/>
    <w:rsid w:val="00381A0A"/>
    <w:rsid w:val="00382051"/>
    <w:rsid w:val="00382D0C"/>
    <w:rsid w:val="00383846"/>
    <w:rsid w:val="0038459B"/>
    <w:rsid w:val="00394DE2"/>
    <w:rsid w:val="00395705"/>
    <w:rsid w:val="00396649"/>
    <w:rsid w:val="003A14AB"/>
    <w:rsid w:val="003A2CD2"/>
    <w:rsid w:val="003C3188"/>
    <w:rsid w:val="003C4233"/>
    <w:rsid w:val="003D2F13"/>
    <w:rsid w:val="003D3134"/>
    <w:rsid w:val="003E06D0"/>
    <w:rsid w:val="003F3FBF"/>
    <w:rsid w:val="0040430D"/>
    <w:rsid w:val="0041194F"/>
    <w:rsid w:val="0041719B"/>
    <w:rsid w:val="00421887"/>
    <w:rsid w:val="00421EE1"/>
    <w:rsid w:val="00424EDF"/>
    <w:rsid w:val="0042772C"/>
    <w:rsid w:val="004361E4"/>
    <w:rsid w:val="00441D73"/>
    <w:rsid w:val="00447B31"/>
    <w:rsid w:val="00447EB2"/>
    <w:rsid w:val="00451786"/>
    <w:rsid w:val="00452CCF"/>
    <w:rsid w:val="004604C3"/>
    <w:rsid w:val="00462539"/>
    <w:rsid w:val="0047260F"/>
    <w:rsid w:val="00483848"/>
    <w:rsid w:val="004854A0"/>
    <w:rsid w:val="004862E5"/>
    <w:rsid w:val="004916E8"/>
    <w:rsid w:val="004932D8"/>
    <w:rsid w:val="004A3C55"/>
    <w:rsid w:val="004B3945"/>
    <w:rsid w:val="004C2F66"/>
    <w:rsid w:val="004C42FE"/>
    <w:rsid w:val="004C5CA0"/>
    <w:rsid w:val="004C6DA8"/>
    <w:rsid w:val="004D3557"/>
    <w:rsid w:val="004D3CFD"/>
    <w:rsid w:val="004D4CC6"/>
    <w:rsid w:val="004E73BB"/>
    <w:rsid w:val="004E7F42"/>
    <w:rsid w:val="004F1570"/>
    <w:rsid w:val="004F222F"/>
    <w:rsid w:val="004F285D"/>
    <w:rsid w:val="004F6959"/>
    <w:rsid w:val="00500653"/>
    <w:rsid w:val="00501A31"/>
    <w:rsid w:val="0050281F"/>
    <w:rsid w:val="0050643B"/>
    <w:rsid w:val="00510EF8"/>
    <w:rsid w:val="005113CF"/>
    <w:rsid w:val="005121F2"/>
    <w:rsid w:val="005202F4"/>
    <w:rsid w:val="005226CC"/>
    <w:rsid w:val="00522B20"/>
    <w:rsid w:val="005263BF"/>
    <w:rsid w:val="00533149"/>
    <w:rsid w:val="00533A34"/>
    <w:rsid w:val="005410F4"/>
    <w:rsid w:val="00551E65"/>
    <w:rsid w:val="00556327"/>
    <w:rsid w:val="00560893"/>
    <w:rsid w:val="00561449"/>
    <w:rsid w:val="00570B94"/>
    <w:rsid w:val="00571607"/>
    <w:rsid w:val="00572010"/>
    <w:rsid w:val="00587D1B"/>
    <w:rsid w:val="00587DC3"/>
    <w:rsid w:val="005944C2"/>
    <w:rsid w:val="0059455A"/>
    <w:rsid w:val="005A02FA"/>
    <w:rsid w:val="005A3103"/>
    <w:rsid w:val="005B191F"/>
    <w:rsid w:val="005B3218"/>
    <w:rsid w:val="005B4CC8"/>
    <w:rsid w:val="005B7E5F"/>
    <w:rsid w:val="005C26C3"/>
    <w:rsid w:val="005C402F"/>
    <w:rsid w:val="005C614E"/>
    <w:rsid w:val="005D4AB5"/>
    <w:rsid w:val="005D515F"/>
    <w:rsid w:val="005D605F"/>
    <w:rsid w:val="005E1C05"/>
    <w:rsid w:val="005E3DEE"/>
    <w:rsid w:val="005E5FBD"/>
    <w:rsid w:val="005F5DAC"/>
    <w:rsid w:val="005F6DCE"/>
    <w:rsid w:val="006027D2"/>
    <w:rsid w:val="0060316A"/>
    <w:rsid w:val="0060471D"/>
    <w:rsid w:val="00607D1F"/>
    <w:rsid w:val="00627A18"/>
    <w:rsid w:val="00631812"/>
    <w:rsid w:val="006341A2"/>
    <w:rsid w:val="00642407"/>
    <w:rsid w:val="0065251D"/>
    <w:rsid w:val="00660982"/>
    <w:rsid w:val="0066278E"/>
    <w:rsid w:val="00663A96"/>
    <w:rsid w:val="006670D5"/>
    <w:rsid w:val="00672265"/>
    <w:rsid w:val="00675871"/>
    <w:rsid w:val="00682A6F"/>
    <w:rsid w:val="00693400"/>
    <w:rsid w:val="00695EE5"/>
    <w:rsid w:val="006A4536"/>
    <w:rsid w:val="006A61E1"/>
    <w:rsid w:val="006C1E80"/>
    <w:rsid w:val="006D172E"/>
    <w:rsid w:val="006D56C5"/>
    <w:rsid w:val="006D6ADE"/>
    <w:rsid w:val="006D78B6"/>
    <w:rsid w:val="006E55E9"/>
    <w:rsid w:val="006F12C9"/>
    <w:rsid w:val="006F74C5"/>
    <w:rsid w:val="007026DE"/>
    <w:rsid w:val="00706EC0"/>
    <w:rsid w:val="00707E36"/>
    <w:rsid w:val="00716712"/>
    <w:rsid w:val="00716A12"/>
    <w:rsid w:val="00720563"/>
    <w:rsid w:val="00722DC0"/>
    <w:rsid w:val="00723EBE"/>
    <w:rsid w:val="007300AD"/>
    <w:rsid w:val="007354A3"/>
    <w:rsid w:val="00736261"/>
    <w:rsid w:val="00743FC7"/>
    <w:rsid w:val="0074454A"/>
    <w:rsid w:val="00746E10"/>
    <w:rsid w:val="00747606"/>
    <w:rsid w:val="00753A17"/>
    <w:rsid w:val="00767703"/>
    <w:rsid w:val="00767DD2"/>
    <w:rsid w:val="007831B9"/>
    <w:rsid w:val="007832A5"/>
    <w:rsid w:val="00785B07"/>
    <w:rsid w:val="007869A5"/>
    <w:rsid w:val="007905E8"/>
    <w:rsid w:val="0079556E"/>
    <w:rsid w:val="007A0787"/>
    <w:rsid w:val="007A1454"/>
    <w:rsid w:val="007A48D1"/>
    <w:rsid w:val="007B3379"/>
    <w:rsid w:val="007B5E66"/>
    <w:rsid w:val="007C0527"/>
    <w:rsid w:val="007C5706"/>
    <w:rsid w:val="007C6A42"/>
    <w:rsid w:val="007D0E1D"/>
    <w:rsid w:val="007D1DF2"/>
    <w:rsid w:val="007E13DA"/>
    <w:rsid w:val="007E4CCE"/>
    <w:rsid w:val="007E5BCE"/>
    <w:rsid w:val="007F024D"/>
    <w:rsid w:val="007F38C6"/>
    <w:rsid w:val="0080061E"/>
    <w:rsid w:val="00811AF1"/>
    <w:rsid w:val="008121DC"/>
    <w:rsid w:val="00812E12"/>
    <w:rsid w:val="0083180A"/>
    <w:rsid w:val="0083559E"/>
    <w:rsid w:val="00845838"/>
    <w:rsid w:val="00855373"/>
    <w:rsid w:val="00857942"/>
    <w:rsid w:val="00857D9B"/>
    <w:rsid w:val="00861F21"/>
    <w:rsid w:val="00862DD3"/>
    <w:rsid w:val="008645F8"/>
    <w:rsid w:val="008664FF"/>
    <w:rsid w:val="00876198"/>
    <w:rsid w:val="00895766"/>
    <w:rsid w:val="008A6DBD"/>
    <w:rsid w:val="008B11F5"/>
    <w:rsid w:val="008B58C9"/>
    <w:rsid w:val="008C043B"/>
    <w:rsid w:val="008C624A"/>
    <w:rsid w:val="008C68AA"/>
    <w:rsid w:val="008C6DF6"/>
    <w:rsid w:val="008D1FCA"/>
    <w:rsid w:val="008D59D8"/>
    <w:rsid w:val="008E0660"/>
    <w:rsid w:val="008F326D"/>
    <w:rsid w:val="00906758"/>
    <w:rsid w:val="0090745F"/>
    <w:rsid w:val="00910A6E"/>
    <w:rsid w:val="009128A1"/>
    <w:rsid w:val="0091333D"/>
    <w:rsid w:val="00913DCE"/>
    <w:rsid w:val="00914258"/>
    <w:rsid w:val="0091464C"/>
    <w:rsid w:val="00921FC5"/>
    <w:rsid w:val="0092398E"/>
    <w:rsid w:val="00925993"/>
    <w:rsid w:val="009328BB"/>
    <w:rsid w:val="00934F65"/>
    <w:rsid w:val="00937ABA"/>
    <w:rsid w:val="00943617"/>
    <w:rsid w:val="0095475A"/>
    <w:rsid w:val="009577F1"/>
    <w:rsid w:val="00960EE5"/>
    <w:rsid w:val="00982074"/>
    <w:rsid w:val="0098793B"/>
    <w:rsid w:val="00995224"/>
    <w:rsid w:val="00995C1E"/>
    <w:rsid w:val="009967A5"/>
    <w:rsid w:val="00996ACF"/>
    <w:rsid w:val="009975F1"/>
    <w:rsid w:val="009A0EEC"/>
    <w:rsid w:val="009A3830"/>
    <w:rsid w:val="009A45C6"/>
    <w:rsid w:val="009B1F83"/>
    <w:rsid w:val="009B4942"/>
    <w:rsid w:val="009B7C33"/>
    <w:rsid w:val="009C1F37"/>
    <w:rsid w:val="009D21E9"/>
    <w:rsid w:val="009E16F4"/>
    <w:rsid w:val="009E5F94"/>
    <w:rsid w:val="009F0F7C"/>
    <w:rsid w:val="009F3909"/>
    <w:rsid w:val="00A004C4"/>
    <w:rsid w:val="00A03B9C"/>
    <w:rsid w:val="00A12F90"/>
    <w:rsid w:val="00A14385"/>
    <w:rsid w:val="00A16850"/>
    <w:rsid w:val="00A17D56"/>
    <w:rsid w:val="00A208E2"/>
    <w:rsid w:val="00A238A8"/>
    <w:rsid w:val="00A304C7"/>
    <w:rsid w:val="00A30E97"/>
    <w:rsid w:val="00A3100E"/>
    <w:rsid w:val="00A326E6"/>
    <w:rsid w:val="00A344DD"/>
    <w:rsid w:val="00A34D01"/>
    <w:rsid w:val="00A37F70"/>
    <w:rsid w:val="00A435FF"/>
    <w:rsid w:val="00A47B76"/>
    <w:rsid w:val="00A52AA8"/>
    <w:rsid w:val="00A54325"/>
    <w:rsid w:val="00A72245"/>
    <w:rsid w:val="00A758F6"/>
    <w:rsid w:val="00A83BE5"/>
    <w:rsid w:val="00AA14AD"/>
    <w:rsid w:val="00AA7DD1"/>
    <w:rsid w:val="00AC2011"/>
    <w:rsid w:val="00AC40EB"/>
    <w:rsid w:val="00AC4281"/>
    <w:rsid w:val="00AD2E98"/>
    <w:rsid w:val="00AD3991"/>
    <w:rsid w:val="00AD6860"/>
    <w:rsid w:val="00AE17C4"/>
    <w:rsid w:val="00AE260E"/>
    <w:rsid w:val="00AF1B03"/>
    <w:rsid w:val="00AF1C25"/>
    <w:rsid w:val="00AF2858"/>
    <w:rsid w:val="00AF3019"/>
    <w:rsid w:val="00AF4559"/>
    <w:rsid w:val="00AF4911"/>
    <w:rsid w:val="00AF5624"/>
    <w:rsid w:val="00AF7986"/>
    <w:rsid w:val="00B0006A"/>
    <w:rsid w:val="00B04A7A"/>
    <w:rsid w:val="00B07259"/>
    <w:rsid w:val="00B12111"/>
    <w:rsid w:val="00B1720C"/>
    <w:rsid w:val="00B21AB0"/>
    <w:rsid w:val="00B2793A"/>
    <w:rsid w:val="00B332AE"/>
    <w:rsid w:val="00B3350F"/>
    <w:rsid w:val="00B367F0"/>
    <w:rsid w:val="00B36C1D"/>
    <w:rsid w:val="00B44E0E"/>
    <w:rsid w:val="00B46A4B"/>
    <w:rsid w:val="00B46AA3"/>
    <w:rsid w:val="00B46E79"/>
    <w:rsid w:val="00B502DF"/>
    <w:rsid w:val="00B51EB3"/>
    <w:rsid w:val="00B53D91"/>
    <w:rsid w:val="00B54EE0"/>
    <w:rsid w:val="00B72C1E"/>
    <w:rsid w:val="00B80FFE"/>
    <w:rsid w:val="00B81301"/>
    <w:rsid w:val="00B83052"/>
    <w:rsid w:val="00B937D8"/>
    <w:rsid w:val="00B94B3B"/>
    <w:rsid w:val="00B970EF"/>
    <w:rsid w:val="00BA72E1"/>
    <w:rsid w:val="00BA7B0E"/>
    <w:rsid w:val="00BB0060"/>
    <w:rsid w:val="00BC3DDB"/>
    <w:rsid w:val="00BC3E2A"/>
    <w:rsid w:val="00BC7D33"/>
    <w:rsid w:val="00BD173F"/>
    <w:rsid w:val="00BD3051"/>
    <w:rsid w:val="00BD5806"/>
    <w:rsid w:val="00BD5EF0"/>
    <w:rsid w:val="00BE187B"/>
    <w:rsid w:val="00BE232D"/>
    <w:rsid w:val="00BE58E8"/>
    <w:rsid w:val="00BF0864"/>
    <w:rsid w:val="00BF2298"/>
    <w:rsid w:val="00BF5484"/>
    <w:rsid w:val="00BF783C"/>
    <w:rsid w:val="00C00C1A"/>
    <w:rsid w:val="00C0652B"/>
    <w:rsid w:val="00C06544"/>
    <w:rsid w:val="00C15B04"/>
    <w:rsid w:val="00C20B8D"/>
    <w:rsid w:val="00C24DD9"/>
    <w:rsid w:val="00C26A68"/>
    <w:rsid w:val="00C27BF6"/>
    <w:rsid w:val="00C31D0C"/>
    <w:rsid w:val="00C34F3A"/>
    <w:rsid w:val="00C37096"/>
    <w:rsid w:val="00C37547"/>
    <w:rsid w:val="00C449E9"/>
    <w:rsid w:val="00C46423"/>
    <w:rsid w:val="00C52798"/>
    <w:rsid w:val="00C527D6"/>
    <w:rsid w:val="00C57839"/>
    <w:rsid w:val="00C61850"/>
    <w:rsid w:val="00C63FA4"/>
    <w:rsid w:val="00C71590"/>
    <w:rsid w:val="00C728FE"/>
    <w:rsid w:val="00C778CC"/>
    <w:rsid w:val="00C8155F"/>
    <w:rsid w:val="00C86C06"/>
    <w:rsid w:val="00C94E43"/>
    <w:rsid w:val="00C96026"/>
    <w:rsid w:val="00C97DD5"/>
    <w:rsid w:val="00CA16EB"/>
    <w:rsid w:val="00CA208A"/>
    <w:rsid w:val="00CA2775"/>
    <w:rsid w:val="00CA458F"/>
    <w:rsid w:val="00CA5B35"/>
    <w:rsid w:val="00CC20F7"/>
    <w:rsid w:val="00CC24CB"/>
    <w:rsid w:val="00CC7788"/>
    <w:rsid w:val="00CD0E43"/>
    <w:rsid w:val="00CD1246"/>
    <w:rsid w:val="00CD19B4"/>
    <w:rsid w:val="00CD2E85"/>
    <w:rsid w:val="00CD55DB"/>
    <w:rsid w:val="00CF03D7"/>
    <w:rsid w:val="00CF0777"/>
    <w:rsid w:val="00CF0B33"/>
    <w:rsid w:val="00CF2F5B"/>
    <w:rsid w:val="00D01747"/>
    <w:rsid w:val="00D02AAC"/>
    <w:rsid w:val="00D03D6C"/>
    <w:rsid w:val="00D06785"/>
    <w:rsid w:val="00D1475B"/>
    <w:rsid w:val="00D21823"/>
    <w:rsid w:val="00D22538"/>
    <w:rsid w:val="00D24E89"/>
    <w:rsid w:val="00D26C2D"/>
    <w:rsid w:val="00D27AC0"/>
    <w:rsid w:val="00D32742"/>
    <w:rsid w:val="00D367F9"/>
    <w:rsid w:val="00D37AE8"/>
    <w:rsid w:val="00D406FE"/>
    <w:rsid w:val="00D41A64"/>
    <w:rsid w:val="00D432C6"/>
    <w:rsid w:val="00D517E9"/>
    <w:rsid w:val="00D52A48"/>
    <w:rsid w:val="00D57C48"/>
    <w:rsid w:val="00D57CE9"/>
    <w:rsid w:val="00D6062A"/>
    <w:rsid w:val="00D61672"/>
    <w:rsid w:val="00D62C8F"/>
    <w:rsid w:val="00D6361D"/>
    <w:rsid w:val="00D709FA"/>
    <w:rsid w:val="00D72479"/>
    <w:rsid w:val="00D8208B"/>
    <w:rsid w:val="00D85FA3"/>
    <w:rsid w:val="00D924BC"/>
    <w:rsid w:val="00D94AF1"/>
    <w:rsid w:val="00DA3E63"/>
    <w:rsid w:val="00DA4527"/>
    <w:rsid w:val="00DA4CDF"/>
    <w:rsid w:val="00DB0627"/>
    <w:rsid w:val="00DB2B03"/>
    <w:rsid w:val="00DD00A6"/>
    <w:rsid w:val="00DE3CF3"/>
    <w:rsid w:val="00DE4DF0"/>
    <w:rsid w:val="00DE4DFE"/>
    <w:rsid w:val="00DF0467"/>
    <w:rsid w:val="00DF57C0"/>
    <w:rsid w:val="00DF7DF3"/>
    <w:rsid w:val="00E00E28"/>
    <w:rsid w:val="00E01F17"/>
    <w:rsid w:val="00E02AF3"/>
    <w:rsid w:val="00E05497"/>
    <w:rsid w:val="00E101EB"/>
    <w:rsid w:val="00E23F5C"/>
    <w:rsid w:val="00E26DA2"/>
    <w:rsid w:val="00E31483"/>
    <w:rsid w:val="00E316F1"/>
    <w:rsid w:val="00E45BB3"/>
    <w:rsid w:val="00E528FA"/>
    <w:rsid w:val="00E55BF7"/>
    <w:rsid w:val="00E644BD"/>
    <w:rsid w:val="00E65480"/>
    <w:rsid w:val="00E65CEC"/>
    <w:rsid w:val="00E673F0"/>
    <w:rsid w:val="00E857A3"/>
    <w:rsid w:val="00E94FD9"/>
    <w:rsid w:val="00E960B0"/>
    <w:rsid w:val="00E96B0B"/>
    <w:rsid w:val="00EA4A01"/>
    <w:rsid w:val="00EA6C17"/>
    <w:rsid w:val="00EB191D"/>
    <w:rsid w:val="00EB2626"/>
    <w:rsid w:val="00EB3754"/>
    <w:rsid w:val="00EB61FE"/>
    <w:rsid w:val="00EC089D"/>
    <w:rsid w:val="00EC26CA"/>
    <w:rsid w:val="00EC486B"/>
    <w:rsid w:val="00EC4A7B"/>
    <w:rsid w:val="00EC68E0"/>
    <w:rsid w:val="00ED559D"/>
    <w:rsid w:val="00EE458E"/>
    <w:rsid w:val="00EE7FEE"/>
    <w:rsid w:val="00EF0C74"/>
    <w:rsid w:val="00EF107A"/>
    <w:rsid w:val="00EF2A9E"/>
    <w:rsid w:val="00F01530"/>
    <w:rsid w:val="00F0198C"/>
    <w:rsid w:val="00F02AC8"/>
    <w:rsid w:val="00F0571F"/>
    <w:rsid w:val="00F10206"/>
    <w:rsid w:val="00F109A4"/>
    <w:rsid w:val="00F113C8"/>
    <w:rsid w:val="00F1777B"/>
    <w:rsid w:val="00F248C1"/>
    <w:rsid w:val="00F33250"/>
    <w:rsid w:val="00F4098E"/>
    <w:rsid w:val="00F412C8"/>
    <w:rsid w:val="00F42462"/>
    <w:rsid w:val="00F434C0"/>
    <w:rsid w:val="00F436FA"/>
    <w:rsid w:val="00F43D68"/>
    <w:rsid w:val="00F46F97"/>
    <w:rsid w:val="00F7155F"/>
    <w:rsid w:val="00F75834"/>
    <w:rsid w:val="00F7739C"/>
    <w:rsid w:val="00F84723"/>
    <w:rsid w:val="00FA325A"/>
    <w:rsid w:val="00FA38D2"/>
    <w:rsid w:val="00FA7F5E"/>
    <w:rsid w:val="00FB2007"/>
    <w:rsid w:val="00FB21AC"/>
    <w:rsid w:val="00FB39C4"/>
    <w:rsid w:val="00FB715F"/>
    <w:rsid w:val="00FC1A11"/>
    <w:rsid w:val="00FC2651"/>
    <w:rsid w:val="00FD5FFE"/>
    <w:rsid w:val="00FD61BF"/>
    <w:rsid w:val="00FE1209"/>
    <w:rsid w:val="00FE6893"/>
    <w:rsid w:val="00FE6CCB"/>
    <w:rsid w:val="00FF32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224"/>
    <w:pPr>
      <w:spacing w:after="0" w:line="240" w:lineRule="auto"/>
    </w:pPr>
    <w:rPr>
      <w:rFonts w:ascii="Century Schoolbook" w:eastAsia="Times New Roman" w:hAnsi="Century Schoolbook" w:cs="Times New Roman"/>
      <w:sz w:val="24"/>
      <w:szCs w:val="24"/>
      <w:lang w:eastAsia="pt-BR"/>
    </w:rPr>
  </w:style>
  <w:style w:type="paragraph" w:styleId="Ttulo1">
    <w:name w:val="heading 1"/>
    <w:basedOn w:val="Normal"/>
    <w:next w:val="Normal"/>
    <w:link w:val="Ttulo1Char"/>
    <w:qFormat/>
    <w:rsid w:val="0017258B"/>
    <w:pPr>
      <w:keepNext/>
      <w:jc w:val="both"/>
      <w:outlineLvl w:val="0"/>
    </w:pPr>
    <w:rPr>
      <w:rFonts w:ascii="Arial Narrow" w:hAnsi="Arial Narrow"/>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95224"/>
    <w:pPr>
      <w:tabs>
        <w:tab w:val="center" w:pos="4252"/>
        <w:tab w:val="right" w:pos="8504"/>
      </w:tabs>
    </w:pPr>
  </w:style>
  <w:style w:type="character" w:customStyle="1" w:styleId="CabealhoChar">
    <w:name w:val="Cabeçalho Char"/>
    <w:basedOn w:val="Fontepargpadro"/>
    <w:link w:val="Cabealho"/>
    <w:rsid w:val="00995224"/>
    <w:rPr>
      <w:rFonts w:ascii="Century Schoolbook" w:eastAsia="Times New Roman" w:hAnsi="Century Schoolbook" w:cs="Times New Roman"/>
      <w:sz w:val="24"/>
      <w:szCs w:val="24"/>
      <w:lang w:eastAsia="pt-BR"/>
    </w:rPr>
  </w:style>
  <w:style w:type="paragraph" w:styleId="Rodap">
    <w:name w:val="footer"/>
    <w:basedOn w:val="Normal"/>
    <w:link w:val="RodapChar"/>
    <w:uiPriority w:val="99"/>
    <w:rsid w:val="00995224"/>
    <w:pPr>
      <w:tabs>
        <w:tab w:val="center" w:pos="4252"/>
        <w:tab w:val="right" w:pos="8504"/>
      </w:tabs>
    </w:pPr>
  </w:style>
  <w:style w:type="character" w:customStyle="1" w:styleId="RodapChar">
    <w:name w:val="Rodapé Char"/>
    <w:basedOn w:val="Fontepargpadro"/>
    <w:link w:val="Rodap"/>
    <w:uiPriority w:val="99"/>
    <w:rsid w:val="00995224"/>
    <w:rPr>
      <w:rFonts w:ascii="Century Schoolbook" w:eastAsia="Times New Roman" w:hAnsi="Century Schoolbook" w:cs="Times New Roman"/>
      <w:sz w:val="24"/>
      <w:szCs w:val="24"/>
      <w:lang w:eastAsia="pt-BR"/>
    </w:rPr>
  </w:style>
  <w:style w:type="character" w:styleId="Hyperlink">
    <w:name w:val="Hyperlink"/>
    <w:basedOn w:val="Fontepargpadro"/>
    <w:uiPriority w:val="99"/>
    <w:rsid w:val="00995224"/>
    <w:rPr>
      <w:color w:val="0000FF"/>
      <w:u w:val="single"/>
    </w:rPr>
  </w:style>
  <w:style w:type="paragraph" w:styleId="Textodenotaderodap">
    <w:name w:val="footnote text"/>
    <w:basedOn w:val="Normal"/>
    <w:link w:val="TextodenotaderodapChar"/>
    <w:rsid w:val="00995224"/>
    <w:rPr>
      <w:sz w:val="20"/>
      <w:szCs w:val="20"/>
    </w:rPr>
  </w:style>
  <w:style w:type="character" w:customStyle="1" w:styleId="TextodenotaderodapChar">
    <w:name w:val="Texto de nota de rodapé Char"/>
    <w:basedOn w:val="Fontepargpadro"/>
    <w:link w:val="Textodenotaderodap"/>
    <w:rsid w:val="00995224"/>
    <w:rPr>
      <w:rFonts w:ascii="Century Schoolbook" w:eastAsia="Times New Roman" w:hAnsi="Century Schoolbook" w:cs="Times New Roman"/>
      <w:sz w:val="20"/>
      <w:szCs w:val="20"/>
      <w:lang w:eastAsia="pt-BR"/>
    </w:rPr>
  </w:style>
  <w:style w:type="character" w:styleId="Refdenotaderodap">
    <w:name w:val="footnote reference"/>
    <w:basedOn w:val="Fontepargpadro"/>
    <w:rsid w:val="00995224"/>
    <w:rPr>
      <w:vertAlign w:val="superscript"/>
    </w:rPr>
  </w:style>
  <w:style w:type="paragraph" w:styleId="Textodebalo">
    <w:name w:val="Balloon Text"/>
    <w:basedOn w:val="Normal"/>
    <w:link w:val="TextodebaloChar"/>
    <w:uiPriority w:val="99"/>
    <w:semiHidden/>
    <w:unhideWhenUsed/>
    <w:rsid w:val="00995224"/>
    <w:rPr>
      <w:rFonts w:ascii="Tahoma" w:hAnsi="Tahoma" w:cs="Tahoma"/>
      <w:sz w:val="16"/>
      <w:szCs w:val="16"/>
    </w:rPr>
  </w:style>
  <w:style w:type="character" w:customStyle="1" w:styleId="TextodebaloChar">
    <w:name w:val="Texto de balão Char"/>
    <w:basedOn w:val="Fontepargpadro"/>
    <w:link w:val="Textodebalo"/>
    <w:uiPriority w:val="99"/>
    <w:semiHidden/>
    <w:rsid w:val="00995224"/>
    <w:rPr>
      <w:rFonts w:ascii="Tahoma" w:eastAsia="Times New Roman" w:hAnsi="Tahoma" w:cs="Tahoma"/>
      <w:sz w:val="16"/>
      <w:szCs w:val="16"/>
      <w:lang w:eastAsia="pt-BR"/>
    </w:rPr>
  </w:style>
  <w:style w:type="paragraph" w:styleId="NormalWeb">
    <w:name w:val="Normal (Web)"/>
    <w:basedOn w:val="Normal"/>
    <w:uiPriority w:val="99"/>
    <w:unhideWhenUsed/>
    <w:rsid w:val="00D22538"/>
    <w:pPr>
      <w:spacing w:before="100" w:beforeAutospacing="1" w:after="100" w:afterAutospacing="1"/>
    </w:pPr>
    <w:rPr>
      <w:rFonts w:ascii="Times New Roman" w:hAnsi="Times New Roman"/>
    </w:rPr>
  </w:style>
  <w:style w:type="paragraph" w:styleId="PargrafodaLista">
    <w:name w:val="List Paragraph"/>
    <w:basedOn w:val="Normal"/>
    <w:uiPriority w:val="34"/>
    <w:qFormat/>
    <w:rsid w:val="00C34F3A"/>
    <w:pPr>
      <w:ind w:left="720"/>
      <w:contextualSpacing/>
    </w:pPr>
  </w:style>
  <w:style w:type="character" w:customStyle="1" w:styleId="Ttulo1Char">
    <w:name w:val="Título 1 Char"/>
    <w:basedOn w:val="Fontepargpadro"/>
    <w:link w:val="Ttulo1"/>
    <w:rsid w:val="0017258B"/>
    <w:rPr>
      <w:rFonts w:ascii="Arial Narrow" w:eastAsia="Times New Roman" w:hAnsi="Arial Narrow" w:cs="Times New Roman"/>
      <w:b/>
      <w:sz w:val="24"/>
      <w:szCs w:val="24"/>
      <w:lang w:eastAsia="pt-BR"/>
    </w:rPr>
  </w:style>
  <w:style w:type="paragraph" w:customStyle="1" w:styleId="western">
    <w:name w:val="western"/>
    <w:basedOn w:val="Normal"/>
    <w:rsid w:val="00105040"/>
    <w:pPr>
      <w:spacing w:before="100" w:beforeAutospacing="1" w:after="100" w:afterAutospacing="1"/>
    </w:pPr>
    <w:rPr>
      <w:rFonts w:ascii="Times New Roman" w:hAnsi="Times New Roman"/>
    </w:rPr>
  </w:style>
  <w:style w:type="paragraph" w:styleId="Corpodetexto2">
    <w:name w:val="Body Text 2"/>
    <w:basedOn w:val="Normal"/>
    <w:link w:val="Corpodetexto2Char"/>
    <w:uiPriority w:val="99"/>
    <w:rsid w:val="00B54EE0"/>
    <w:pPr>
      <w:spacing w:after="240" w:line="280" w:lineRule="atLeast"/>
      <w:jc w:val="both"/>
    </w:pPr>
    <w:rPr>
      <w:rFonts w:ascii="Times New Roman" w:hAnsi="Times New Roman"/>
      <w:szCs w:val="20"/>
    </w:rPr>
  </w:style>
  <w:style w:type="character" w:customStyle="1" w:styleId="Corpodetexto2Char">
    <w:name w:val="Corpo de texto 2 Char"/>
    <w:basedOn w:val="Fontepargpadro"/>
    <w:link w:val="Corpodetexto2"/>
    <w:uiPriority w:val="99"/>
    <w:rsid w:val="00B54EE0"/>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rsid w:val="00B54EE0"/>
    <w:pPr>
      <w:jc w:val="both"/>
    </w:pPr>
    <w:rPr>
      <w:rFonts w:ascii="Times New Roman" w:hAnsi="Times New Roman"/>
      <w:i/>
      <w:szCs w:val="20"/>
    </w:rPr>
  </w:style>
  <w:style w:type="character" w:customStyle="1" w:styleId="CorpodetextoChar">
    <w:name w:val="Corpo de texto Char"/>
    <w:basedOn w:val="Fontepargpadro"/>
    <w:link w:val="Corpodetexto"/>
    <w:uiPriority w:val="99"/>
    <w:rsid w:val="00B54EE0"/>
    <w:rPr>
      <w:rFonts w:ascii="Times New Roman" w:eastAsia="Times New Roman" w:hAnsi="Times New Roman" w:cs="Times New Roman"/>
      <w:i/>
      <w:sz w:val="24"/>
      <w:szCs w:val="20"/>
      <w:lang w:eastAsia="pt-BR"/>
    </w:rPr>
  </w:style>
  <w:style w:type="paragraph" w:styleId="TextosemFormatao">
    <w:name w:val="Plain Text"/>
    <w:basedOn w:val="Normal"/>
    <w:link w:val="TextosemFormataoChar"/>
    <w:semiHidden/>
    <w:rsid w:val="00196F2E"/>
    <w:rPr>
      <w:rFonts w:ascii="Courier New" w:hAnsi="Courier New"/>
      <w:sz w:val="20"/>
      <w:szCs w:val="20"/>
    </w:rPr>
  </w:style>
  <w:style w:type="character" w:customStyle="1" w:styleId="TextosemFormataoChar">
    <w:name w:val="Texto sem Formatação Char"/>
    <w:basedOn w:val="Fontepargpadro"/>
    <w:link w:val="TextosemFormatao"/>
    <w:semiHidden/>
    <w:rsid w:val="00196F2E"/>
    <w:rPr>
      <w:rFonts w:ascii="Courier New" w:eastAsia="Times New Roman" w:hAnsi="Courier New" w:cs="Times New Roman"/>
      <w:sz w:val="20"/>
      <w:szCs w:val="20"/>
      <w:lang w:eastAsia="pt-BR"/>
    </w:rPr>
  </w:style>
  <w:style w:type="table" w:styleId="Tabelacomgrade">
    <w:name w:val="Table Grid"/>
    <w:basedOn w:val="Tabelanormal"/>
    <w:uiPriority w:val="59"/>
    <w:rsid w:val="003036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469653">
      <w:bodyDiv w:val="1"/>
      <w:marLeft w:val="0"/>
      <w:marRight w:val="0"/>
      <w:marTop w:val="0"/>
      <w:marBottom w:val="0"/>
      <w:divBdr>
        <w:top w:val="none" w:sz="0" w:space="0" w:color="auto"/>
        <w:left w:val="none" w:sz="0" w:space="0" w:color="auto"/>
        <w:bottom w:val="none" w:sz="0" w:space="0" w:color="auto"/>
        <w:right w:val="none" w:sz="0" w:space="0" w:color="auto"/>
      </w:divBdr>
    </w:div>
    <w:div w:id="251860996">
      <w:bodyDiv w:val="1"/>
      <w:marLeft w:val="0"/>
      <w:marRight w:val="0"/>
      <w:marTop w:val="0"/>
      <w:marBottom w:val="0"/>
      <w:divBdr>
        <w:top w:val="none" w:sz="0" w:space="0" w:color="auto"/>
        <w:left w:val="none" w:sz="0" w:space="0" w:color="auto"/>
        <w:bottom w:val="none" w:sz="0" w:space="0" w:color="auto"/>
        <w:right w:val="none" w:sz="0" w:space="0" w:color="auto"/>
      </w:divBdr>
    </w:div>
    <w:div w:id="291328419">
      <w:bodyDiv w:val="1"/>
      <w:marLeft w:val="0"/>
      <w:marRight w:val="0"/>
      <w:marTop w:val="0"/>
      <w:marBottom w:val="0"/>
      <w:divBdr>
        <w:top w:val="none" w:sz="0" w:space="0" w:color="auto"/>
        <w:left w:val="none" w:sz="0" w:space="0" w:color="auto"/>
        <w:bottom w:val="none" w:sz="0" w:space="0" w:color="auto"/>
        <w:right w:val="none" w:sz="0" w:space="0" w:color="auto"/>
      </w:divBdr>
    </w:div>
    <w:div w:id="579797046">
      <w:bodyDiv w:val="1"/>
      <w:marLeft w:val="0"/>
      <w:marRight w:val="0"/>
      <w:marTop w:val="0"/>
      <w:marBottom w:val="0"/>
      <w:divBdr>
        <w:top w:val="none" w:sz="0" w:space="0" w:color="auto"/>
        <w:left w:val="none" w:sz="0" w:space="0" w:color="auto"/>
        <w:bottom w:val="none" w:sz="0" w:space="0" w:color="auto"/>
        <w:right w:val="none" w:sz="0" w:space="0" w:color="auto"/>
      </w:divBdr>
    </w:div>
    <w:div w:id="1120100856">
      <w:bodyDiv w:val="1"/>
      <w:marLeft w:val="0"/>
      <w:marRight w:val="0"/>
      <w:marTop w:val="0"/>
      <w:marBottom w:val="0"/>
      <w:divBdr>
        <w:top w:val="none" w:sz="0" w:space="0" w:color="auto"/>
        <w:left w:val="none" w:sz="0" w:space="0" w:color="auto"/>
        <w:bottom w:val="none" w:sz="0" w:space="0" w:color="auto"/>
        <w:right w:val="none" w:sz="0" w:space="0" w:color="auto"/>
      </w:divBdr>
    </w:div>
    <w:div w:id="1357543048">
      <w:bodyDiv w:val="1"/>
      <w:marLeft w:val="0"/>
      <w:marRight w:val="0"/>
      <w:marTop w:val="0"/>
      <w:marBottom w:val="0"/>
      <w:divBdr>
        <w:top w:val="none" w:sz="0" w:space="0" w:color="auto"/>
        <w:left w:val="none" w:sz="0" w:space="0" w:color="auto"/>
        <w:bottom w:val="none" w:sz="0" w:space="0" w:color="auto"/>
        <w:right w:val="none" w:sz="0" w:space="0" w:color="auto"/>
      </w:divBdr>
    </w:div>
    <w:div w:id="1395158230">
      <w:bodyDiv w:val="1"/>
      <w:marLeft w:val="0"/>
      <w:marRight w:val="0"/>
      <w:marTop w:val="0"/>
      <w:marBottom w:val="0"/>
      <w:divBdr>
        <w:top w:val="none" w:sz="0" w:space="0" w:color="auto"/>
        <w:left w:val="none" w:sz="0" w:space="0" w:color="auto"/>
        <w:bottom w:val="none" w:sz="0" w:space="0" w:color="auto"/>
        <w:right w:val="none" w:sz="0" w:space="0" w:color="auto"/>
      </w:divBdr>
    </w:div>
    <w:div w:id="1682585812">
      <w:bodyDiv w:val="1"/>
      <w:marLeft w:val="0"/>
      <w:marRight w:val="0"/>
      <w:marTop w:val="0"/>
      <w:marBottom w:val="0"/>
      <w:divBdr>
        <w:top w:val="none" w:sz="0" w:space="0" w:color="auto"/>
        <w:left w:val="none" w:sz="0" w:space="0" w:color="auto"/>
        <w:bottom w:val="none" w:sz="0" w:space="0" w:color="auto"/>
        <w:right w:val="none" w:sz="0" w:space="0" w:color="auto"/>
      </w:divBdr>
    </w:div>
    <w:div w:id="20264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YhpXsTi9VU81a8MKhFfrSHIoFNI=</DigestValue>
    </Reference>
    <Reference URI="#idOfficeObject" Type="http://www.w3.org/2000/09/xmldsig#Object">
      <DigestMethod Algorithm="http://www.w3.org/2000/09/xmldsig#sha1"/>
      <DigestValue>7GvSvp0ArLcxaqX0pykYkah/jt0=</DigestValue>
    </Reference>
  </SignedInfo>
  <SignatureValue>
    EvclA2QltfgRvmjjr4s93iIMOsb4Zha3sCk0e37Rdq+S07DukoEBys1VdDWCwa9fk8Zpfl8q
    Hk/13AXxaW4RWEh4KNBPHTPJs8F1raqzlaYwVV6sQwvcNpm6I6yeleVAtcG0c9gMwDStmgDs
    Mwo7VMWVRCJ8nitGynUD6TDtUc/dGxdTRQtkBDmoYDY187vw7lV1sGjRMKy9xOCc2JCfVLGe
    P1m2J5JdLqFxERG6KUVf7Njen/dWC+eRIxYpU38vx/47sddU9+S3H3+wLZd5z4cuo9KdbZFP
    Rm/NCzOVQF987iouF7iDn1JICxlkNIM+OmsaJMSpUSaZlDKImd9Zfw==
  </SignatureValue>
  <KeyInfo>
    <KeyValue>
      <RSAKeyValue>
        <Modulus>
            pWGr1VivlEwf71hYBSWqOo3s5GRUhp01HT4ZbUheB0xbq0HB/3uVWCrkKKcmuczqR0itc5XN
            JFT++azWyeKoqgy/Bx49+HTaHAH27nEVjJNtxoEffSqEjlvoC7PbhFwePdRpXJ/a3hxMvUxw
            TDKtZE8VmAoZKLJiaHvdofZjPv5B/16a9Q4eHI56M4kqF2qGifG3K8ATX1lO0itAlM9136u6
            MYf27llPHVrAnhd+TCM0at1JPuoIXJ795wrSD+gZswSmuoO3FXsl2YBUwzKO21imiJsFqc47
            BGFFkHgSsplcc69nqcuGpKPAT8xms2cbSleZNHOfhu/AD9IhORxewQ==
          </Modulus>
        <Exponent>AQAB</Exponent>
      </RSAKeyValue>
    </KeyValue>
    <X509Data>
      <X509Certificate>
          MIIH9DCCBdygAwIBAgIQJ096ShclnAlAaKdpTx8BmDANBgkqhkiG9w0BAQsFADB3MQswCQYD
          VQQGEwJCUjETMBEGA1UEChMKSUNQLUJyYXNpbDE2MDQGA1UECxMtU2VjcmV0YXJpYSBkYSBS
          ZWNlaXRhIEZlZGVyYWwgZG8gQnJhc2lsIC0gUkZCMRswGQYDVQQDExJBQyBQUk9ERU1HRSBS
          RkIgRzMwHhcNMTUwNTI1MDAwMDAwWhcNMTgwNTIzMjM1OTU5WjCB6DELMAkGA1UEBhMCQlIx
          EzARBgNVBAoUCklDUC1CcmFzaWwxNjA0BgNVBAsULVNlY3JldGFyaWEgZGEgUmVjZWl0YSBG
          ZWRlcmFsIGRvIEJyYXNpbCAtIFJGQjEVMBMGA1UECxQMUkZCIGUtQ1BGIEEzMRQwEgYDVQQL
          FAsoRU0gQlJBTkNPKTEhMB8GA1UECxQYQXV0ZW50aWNhZG8gcG9yIFBST0RFTUdFMTwwOgYD
          VQQDEzNTQVJBIE1FSU5CRVJHIFNDSE1JRFQgREUgQU5EUkFERSBEVUFSVEU6MDAwNzgzNjQ2
          NTUwggEiMA0GCSqGSIb3DQEBAQUAA4IBDwAwggEKAoIBAQClYavVWK+UTB/vWFgFJao6jezk
          ZFSGnTUdPhltSF4HTFurQcH/e5VYKuQopya5zOpHSK1zlc0kVP75rNbJ4qiqDL8HHj34dNoc
          AfbucRWMk23GgR99KoSOW+gLs9uEXB491Glcn9reHEy9THBMMq1kTxWYChkosmJoe92h9mM+
          /kH/Xpr1Dh4cjnoziSoXaoaJ8bcrwBNfWU7SK0CUz3Xfq7oxh/buWU8dWsCeF35MIzRq3Uk+
          6ghcnv3nCtIP6BmzBKa6g7cVeyXZgFTDMo7bWKaImwWpzjsEYUWQeBKymVxzr2epy4ako8BP
          zGazZxtKV5k0c5+G78AP0iE5HF7BAgMBAAGjggMIMIIDBDCBoAYDVR0RBIGYMIGVoD0GBWBM
          AQMBoDQEMjEwMTIxOTczMDAwNzgzNjQ2NTUwMDAwMDAwMDAwMDAwMDAwME1HNjQwMjI1NlNT
          UE1HoBcGBWBMAQMGoA4EDDAwMDAwMDAwMDAwMKAeBgVgTAEDBaAVBBMwMDAwMDAwMDAwMDAw
          MDAwMDAwgRtzYXJhLm1laW5iZXJnQG1wYy5tZy5nb3YuYnIwCQYDVR0TBAIwADAfBgNVHSME
          GDAWgBTUhARBL7QuQTXs74g60UzBbguQVDAOBgNVHQ8BAf8EBAMCBeAwfQYDVR0gBHYwdDBy
          BgZgTAECAxQwaDBmBggrBgEFBQcCARZaaHR0cDovL2ljcC1icmFzaWwuY2VydGlzaWduLmNv
          bS5ici9yZXBvc2l0b3Jpby9kcGMvQUNfUFJPREVNR0VfUkZCL0RQQ19BQ19QUk9ERU1HRV9S
          RkIucGRmMIIBEwYDVR0fBIIBCjCCAQYwVqBUoFKGUGh0dHA6Ly9pY3AtYnJhc2lsLmNlcnRp
          c2lnbi5jb20uYnIvcmVwb3NpdG9yaW8vbGNyL0FDUFJPREVNR0VSRkJHMy9MYXRlc3RDUkwu
          Y3JsMFWgU6BRhk9odHRwOi8vaWNwLWJyYXNpbC5vdXRyYWxjci5jb20uYnIvcmVwb3NpdG9y
          aW8vbGNyL0FDUFJPREVNR0VSRkJHMy9MYXRlc3RDUkwuY3JsMFWgU6BRhk9odHRwOi8vcmVw
          b3NpdG9yaW8uaWNwYnJhc2lsLmdvdi5ici9sY3IvQ2VydGlzaWduL0FDUFJPREVNR0VSRkJH
          My9MYXRlc3RDUkwuY3JsMB0GA1UdJQQWMBQGCCsGAQUFBwMCBggrBgEFBQcDBDBuBggrBgEF
          BQcBAQRiMGAwXgYIKwYBBQUHMAKGUmh0dHA6Ly9pY3AtYnJhc2lsLmNlcnRpc2lnbi5jb20u
          YnIvcmVwb3NpdG9yaW8vY2VydGlmaWNhZG9zL0FDX1BST0RFTUdFX1JGQl9HMy5wN2MwDQYJ
          KoZIhvcNAQELBQADggIBAGDD3HqXSe+QhE3DACYn/P9/MgV+dCVutD7AwqRTtNhObi4rUuKj
          SvpiiKTXaaktgU8Ypvzuxr7VGSlIEL0+1EDHTTuxsahx25rnCuyQyG1nujrfrfKoPP6hUbgt
          +a5S2XyJj9JjOiGCb17j08MawOagWUMoMKEQnQHFexvooJKKlSxwfdTvhaRjsOq5zidJMU5d
          u97+1MNYrgaUcW+4RUkHBkehgugSZdGol0lcrTXOjKd4XjzPrrreEivhYxwsaJhQxZtf/uUc
          TqaC/PCce11CO6HQVKi2LjMZEZDpWq1OJq0Mu2DvMUMVx6OstiufkgYOSeY1sICRuvr0L2yT
          6RY23vLB+8UI1qIia67CImSqc8CDp5nqJg2irp6ThoEsfm4AlOW7tAjeIiYnekLohfH4Mf3d
          2aII1YVqo1oHgNWMH+CKrsiJkosO5v8bwbQIH1gE5p9k6UY4U+aepq8DO/InBqtczWe/rnl4
          afQV0TD3iIFXwdhMLdPGsx38bkxXmT7pqxmsNyTB8+0aehESl7LLZyQ9kAMMdzvAFUGqLHjX
          jINKuPV8dHVlpCh5jz/OVuPmmQ1fo3A5HdxBtDcLbmxlBPbWrig3TMs9m1IChFrgoI84EhRv
          7BRDEpqpvMoHyQSWNHyK/HFPiFat2D8jQCCeyGZ2DJVloFubjnOaOHQ6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+iOwdkSY2/8ZirXZZPJYS4omM5U=</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d7e9sFqOPDnpItzFytttnaVMpuE=</DigestValue>
      </Reference>
      <Reference URI="/word/document.xml?ContentType=application/vnd.openxmlformats-officedocument.wordprocessingml.document.main+xml">
        <DigestMethod Algorithm="http://www.w3.org/2000/09/xmldsig#sha1"/>
        <DigestValue>jmUN6Kdgw/mL9DeYVf7/tL9Ffjw=</DigestValue>
      </Reference>
      <Reference URI="/word/endnotes.xml?ContentType=application/vnd.openxmlformats-officedocument.wordprocessingml.endnotes+xml">
        <DigestMethod Algorithm="http://www.w3.org/2000/09/xmldsig#sha1"/>
        <DigestValue>NyVsVXGNF71cXOqnc40jDx2dYqY=</DigestValue>
      </Reference>
      <Reference URI="/word/fontTable.xml?ContentType=application/vnd.openxmlformats-officedocument.wordprocessingml.fontTable+xml">
        <DigestMethod Algorithm="http://www.w3.org/2000/09/xmldsig#sha1"/>
        <DigestValue>muYhdM8PbKp/dn+88p1sNu6P890=</DigestValue>
      </Reference>
      <Reference URI="/word/footer1.xml?ContentType=application/vnd.openxmlformats-officedocument.wordprocessingml.footer+xml">
        <DigestMethod Algorithm="http://www.w3.org/2000/09/xmldsig#sha1"/>
        <DigestValue>X9CiOX/wN84Ybb6GHlvfjGzS7Hs=</DigestValue>
      </Reference>
      <Reference URI="/word/footnotes.xml?ContentType=application/vnd.openxmlformats-officedocument.wordprocessingml.footnotes+xml">
        <DigestMethod Algorithm="http://www.w3.org/2000/09/xmldsig#sha1"/>
        <DigestValue>8obpQ2SCWxNL6F4b9EaZd/JteR0=</DigestValue>
      </Reference>
      <Reference URI="/word/header1.xml?ContentType=application/vnd.openxmlformats-officedocument.wordprocessingml.header+xml">
        <DigestMethod Algorithm="http://www.w3.org/2000/09/xmldsig#sha1"/>
        <DigestValue>HNDShHbMg+0NBuoGVwk+A+jBixI=</DigestValue>
      </Reference>
      <Reference URI="/word/media/image1.png?ContentType=image/png">
        <DigestMethod Algorithm="http://www.w3.org/2000/09/xmldsig#sha1"/>
        <DigestValue>Ffn0upG9m/nkYgXm1wbBRzqhG84=</DigestValue>
      </Reference>
      <Reference URI="/word/numbering.xml?ContentType=application/vnd.openxmlformats-officedocument.wordprocessingml.numbering+xml">
        <DigestMethod Algorithm="http://www.w3.org/2000/09/xmldsig#sha1"/>
        <DigestValue>4G8NEGGs039aOR8vqHp7d5V8M6o=</DigestValue>
      </Reference>
      <Reference URI="/word/settings.xml?ContentType=application/vnd.openxmlformats-officedocument.wordprocessingml.settings+xml">
        <DigestMethod Algorithm="http://www.w3.org/2000/09/xmldsig#sha1"/>
        <DigestValue>fSMuy6J890qxk73LFm0zTGVJz2c=</DigestValue>
      </Reference>
      <Reference URI="/word/styles.xml?ContentType=application/vnd.openxmlformats-officedocument.wordprocessingml.styles+xml">
        <DigestMethod Algorithm="http://www.w3.org/2000/09/xmldsig#sha1"/>
        <DigestValue>2reHrzs1dp7x7AK8j0qT76P6zNs=</DigestValue>
      </Reference>
      <Reference URI="/word/theme/theme1.xml?ContentType=application/vnd.openxmlformats-officedocument.theme+xml">
        <DigestMethod Algorithm="http://www.w3.org/2000/09/xmldsig#sha1"/>
        <DigestValue>0XJDGeTYXleMjKApVpJ1ovqD7/Q=</DigestValue>
      </Reference>
      <Reference URI="/word/webSettings.xml?ContentType=application/vnd.openxmlformats-officedocument.wordprocessingml.webSettings+xml">
        <DigestMethod Algorithm="http://www.w3.org/2000/09/xmldsig#sha1"/>
        <DigestValue>JOhTW9EPVyX54LorzB3p8eyAVEU=</DigestValue>
      </Reference>
    </Manifest>
    <SignatureProperties>
      <SignatureProperty Id="idSignatureTime" Target="#idPackageSignature">
        <mdssi:SignatureTime>
          <mdssi:Format>YYYY-MM-DDThh:mm:ssTZD</mdssi:Format>
          <mdssi:Value>2015-09-29T13:34:10Z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045DC-2F40-4164-8FC2-4B6C4B66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8934</Words>
  <Characters>48245</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mbalves</dc:creator>
  <cp:lastModifiedBy>helbert.silva</cp:lastModifiedBy>
  <cp:revision>2</cp:revision>
  <cp:lastPrinted>2015-09-25T20:40:00Z</cp:lastPrinted>
  <dcterms:created xsi:type="dcterms:W3CDTF">2016-05-31T17:26:00Z</dcterms:created>
  <dcterms:modified xsi:type="dcterms:W3CDTF">2016-05-31T17:26:00Z</dcterms:modified>
</cp:coreProperties>
</file>