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sigs" ContentType="application/vnd.openxmlformats-package.digital-signature-origin"/>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_xmlsignatures/sig1.xml" ContentType="application/vnd.openxmlformats-package.digital-signature-xmlsignatur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5" w:type="dxa"/>
        <w:tblInd w:w="-38" w:type="dxa"/>
        <w:tblLayout w:type="fixed"/>
        <w:tblCellMar>
          <w:left w:w="70" w:type="dxa"/>
          <w:right w:w="70" w:type="dxa"/>
        </w:tblCellMar>
        <w:tblLook w:val="01E0"/>
      </w:tblPr>
      <w:tblGrid>
        <w:gridCol w:w="2165"/>
        <w:gridCol w:w="7120"/>
      </w:tblGrid>
      <w:tr w:rsidR="006237F0" w:rsidRPr="0041426E" w:rsidTr="006237F0">
        <w:trPr>
          <w:trHeight w:val="319"/>
        </w:trPr>
        <w:tc>
          <w:tcPr>
            <w:tcW w:w="2165" w:type="dxa"/>
            <w:shd w:val="clear" w:color="auto" w:fill="FFFFFF"/>
            <w:hideMark/>
          </w:tcPr>
          <w:p w:rsidR="006237F0" w:rsidRPr="0041426E" w:rsidRDefault="006237F0" w:rsidP="006237F0">
            <w:pPr>
              <w:spacing w:before="120" w:after="120"/>
              <w:jc w:val="both"/>
              <w:rPr>
                <w:rFonts w:ascii="Arial" w:hAnsi="Arial" w:cs="Arial"/>
                <w:b/>
              </w:rPr>
            </w:pPr>
            <w:r w:rsidRPr="0041426E">
              <w:rPr>
                <w:rFonts w:ascii="Arial" w:hAnsi="Arial" w:cs="Arial"/>
                <w:b/>
              </w:rPr>
              <w:t>Processo nº:</w:t>
            </w:r>
          </w:p>
        </w:tc>
        <w:tc>
          <w:tcPr>
            <w:tcW w:w="7120" w:type="dxa"/>
            <w:shd w:val="clear" w:color="auto" w:fill="FFFFFF"/>
            <w:hideMark/>
          </w:tcPr>
          <w:p w:rsidR="006237F0" w:rsidRPr="0041426E" w:rsidRDefault="006237F0" w:rsidP="006237F0">
            <w:pPr>
              <w:spacing w:before="120" w:after="120"/>
              <w:jc w:val="both"/>
              <w:rPr>
                <w:rFonts w:ascii="Arial" w:hAnsi="Arial" w:cs="Arial"/>
              </w:rPr>
            </w:pPr>
            <w:r>
              <w:rPr>
                <w:rFonts w:ascii="Arial" w:hAnsi="Arial" w:cs="Arial"/>
              </w:rPr>
              <w:t>880.559</w:t>
            </w:r>
          </w:p>
        </w:tc>
      </w:tr>
      <w:tr w:rsidR="006237F0" w:rsidRPr="0041426E" w:rsidTr="006237F0">
        <w:trPr>
          <w:trHeight w:val="550"/>
        </w:trPr>
        <w:tc>
          <w:tcPr>
            <w:tcW w:w="2165" w:type="dxa"/>
            <w:shd w:val="clear" w:color="auto" w:fill="FFFFFF"/>
            <w:hideMark/>
          </w:tcPr>
          <w:p w:rsidR="006237F0" w:rsidRPr="0041426E" w:rsidRDefault="006237F0" w:rsidP="006237F0">
            <w:pPr>
              <w:spacing w:before="120" w:after="120"/>
              <w:jc w:val="both"/>
              <w:rPr>
                <w:rFonts w:ascii="Arial" w:hAnsi="Arial" w:cs="Arial"/>
                <w:b/>
              </w:rPr>
            </w:pPr>
            <w:r w:rsidRPr="0041426E">
              <w:rPr>
                <w:rFonts w:ascii="Arial" w:hAnsi="Arial" w:cs="Arial"/>
                <w:b/>
              </w:rPr>
              <w:t>Natureza:</w:t>
            </w:r>
          </w:p>
        </w:tc>
        <w:tc>
          <w:tcPr>
            <w:tcW w:w="7120" w:type="dxa"/>
            <w:shd w:val="clear" w:color="auto" w:fill="FFFFFF"/>
            <w:hideMark/>
          </w:tcPr>
          <w:p w:rsidR="006237F0" w:rsidRPr="0041426E" w:rsidRDefault="006237F0" w:rsidP="006237F0">
            <w:pPr>
              <w:spacing w:before="120" w:after="120"/>
              <w:jc w:val="both"/>
              <w:rPr>
                <w:rFonts w:ascii="Arial" w:hAnsi="Arial" w:cs="Arial"/>
              </w:rPr>
            </w:pPr>
            <w:r w:rsidRPr="0041426E">
              <w:rPr>
                <w:rFonts w:ascii="Arial" w:hAnsi="Arial" w:cs="Arial"/>
              </w:rPr>
              <w:t>Tomada de Contas Especial</w:t>
            </w:r>
          </w:p>
        </w:tc>
      </w:tr>
      <w:tr w:rsidR="006237F0" w:rsidRPr="0041426E" w:rsidTr="006237F0">
        <w:trPr>
          <w:trHeight w:val="550"/>
        </w:trPr>
        <w:tc>
          <w:tcPr>
            <w:tcW w:w="2165" w:type="dxa"/>
            <w:shd w:val="clear" w:color="auto" w:fill="FFFFFF"/>
            <w:hideMark/>
          </w:tcPr>
          <w:p w:rsidR="006237F0" w:rsidRPr="0041426E" w:rsidRDefault="006237F0" w:rsidP="006237F0">
            <w:pPr>
              <w:spacing w:before="120" w:after="120"/>
              <w:jc w:val="both"/>
              <w:rPr>
                <w:rFonts w:ascii="Arial" w:hAnsi="Arial" w:cs="Arial"/>
                <w:b/>
              </w:rPr>
            </w:pPr>
            <w:r w:rsidRPr="0041426E">
              <w:rPr>
                <w:rFonts w:ascii="Arial" w:hAnsi="Arial" w:cs="Arial"/>
                <w:b/>
              </w:rPr>
              <w:t>Procedência:</w:t>
            </w:r>
          </w:p>
        </w:tc>
        <w:tc>
          <w:tcPr>
            <w:tcW w:w="7120" w:type="dxa"/>
            <w:shd w:val="clear" w:color="auto" w:fill="FFFFFF"/>
            <w:hideMark/>
          </w:tcPr>
          <w:p w:rsidR="006237F0" w:rsidRPr="0041426E" w:rsidRDefault="006237F0" w:rsidP="006237F0">
            <w:pPr>
              <w:spacing w:before="120" w:after="120"/>
              <w:jc w:val="both"/>
              <w:rPr>
                <w:rFonts w:ascii="Arial" w:hAnsi="Arial" w:cs="Arial"/>
              </w:rPr>
            </w:pPr>
            <w:r w:rsidRPr="0041426E">
              <w:rPr>
                <w:rFonts w:ascii="Arial" w:hAnsi="Arial" w:cs="Arial"/>
              </w:rPr>
              <w:t xml:space="preserve">Secretaria de Estado de </w:t>
            </w:r>
            <w:r>
              <w:rPr>
                <w:rFonts w:ascii="Arial" w:hAnsi="Arial" w:cs="Arial"/>
              </w:rPr>
              <w:t>Meio Ambiente e Desenvolvimento Sustentável</w:t>
            </w:r>
            <w:r w:rsidR="00207122">
              <w:rPr>
                <w:rFonts w:ascii="Arial" w:hAnsi="Arial" w:cs="Arial"/>
              </w:rPr>
              <w:t xml:space="preserve"> (SEMAD)</w:t>
            </w:r>
          </w:p>
        </w:tc>
      </w:tr>
      <w:tr w:rsidR="006237F0" w:rsidRPr="0041426E" w:rsidTr="006237F0">
        <w:trPr>
          <w:trHeight w:val="550"/>
        </w:trPr>
        <w:tc>
          <w:tcPr>
            <w:tcW w:w="2165" w:type="dxa"/>
            <w:shd w:val="clear" w:color="auto" w:fill="FFFFFF"/>
            <w:hideMark/>
          </w:tcPr>
          <w:p w:rsidR="006237F0" w:rsidRPr="0041426E" w:rsidRDefault="006237F0" w:rsidP="006237F0">
            <w:pPr>
              <w:spacing w:before="120" w:after="120"/>
              <w:jc w:val="both"/>
              <w:rPr>
                <w:rFonts w:ascii="Arial" w:hAnsi="Arial" w:cs="Arial"/>
                <w:b/>
              </w:rPr>
            </w:pPr>
            <w:r w:rsidRPr="0041426E">
              <w:rPr>
                <w:rFonts w:ascii="Arial" w:hAnsi="Arial" w:cs="Arial"/>
                <w:b/>
              </w:rPr>
              <w:t>Relator:</w:t>
            </w:r>
          </w:p>
        </w:tc>
        <w:tc>
          <w:tcPr>
            <w:tcW w:w="7120" w:type="dxa"/>
            <w:shd w:val="clear" w:color="auto" w:fill="FFFFFF"/>
            <w:hideMark/>
          </w:tcPr>
          <w:p w:rsidR="006237F0" w:rsidRPr="0041426E" w:rsidRDefault="006237F0" w:rsidP="006237F0">
            <w:pPr>
              <w:spacing w:before="120" w:after="120"/>
              <w:jc w:val="both"/>
              <w:rPr>
                <w:rFonts w:ascii="Arial" w:hAnsi="Arial" w:cs="Arial"/>
              </w:rPr>
            </w:pPr>
            <w:r w:rsidRPr="0041426E">
              <w:rPr>
                <w:rFonts w:ascii="Arial" w:hAnsi="Arial" w:cs="Arial"/>
              </w:rPr>
              <w:t>Conselheiro Mauri Torres</w:t>
            </w:r>
          </w:p>
        </w:tc>
      </w:tr>
    </w:tbl>
    <w:p w:rsidR="006237F0" w:rsidRPr="0041426E" w:rsidRDefault="006237F0" w:rsidP="006237F0">
      <w:pPr>
        <w:tabs>
          <w:tab w:val="left" w:pos="426"/>
        </w:tabs>
        <w:autoSpaceDE w:val="0"/>
        <w:autoSpaceDN w:val="0"/>
        <w:adjustRightInd w:val="0"/>
        <w:spacing w:before="120" w:after="120" w:line="360" w:lineRule="auto"/>
        <w:ind w:left="426" w:right="-1"/>
        <w:jc w:val="center"/>
        <w:rPr>
          <w:rFonts w:ascii="Arial" w:hAnsi="Arial" w:cs="Arial"/>
          <w:b/>
          <w:u w:val="single"/>
        </w:rPr>
      </w:pPr>
    </w:p>
    <w:p w:rsidR="006237F0" w:rsidRPr="0041426E" w:rsidRDefault="006237F0" w:rsidP="006237F0">
      <w:pPr>
        <w:tabs>
          <w:tab w:val="left" w:pos="426"/>
        </w:tabs>
        <w:autoSpaceDE w:val="0"/>
        <w:autoSpaceDN w:val="0"/>
        <w:adjustRightInd w:val="0"/>
        <w:spacing w:before="120" w:after="120" w:line="360" w:lineRule="auto"/>
        <w:ind w:left="426" w:right="-1"/>
        <w:jc w:val="center"/>
        <w:rPr>
          <w:rFonts w:ascii="Arial" w:hAnsi="Arial" w:cs="Arial"/>
          <w:b/>
          <w:u w:val="single"/>
        </w:rPr>
      </w:pPr>
      <w:r w:rsidRPr="0041426E">
        <w:rPr>
          <w:rFonts w:ascii="Arial" w:hAnsi="Arial" w:cs="Arial"/>
          <w:b/>
          <w:u w:val="single"/>
        </w:rPr>
        <w:t>PARECER</w:t>
      </w:r>
    </w:p>
    <w:p w:rsidR="006237F0" w:rsidRPr="0041426E" w:rsidRDefault="006237F0" w:rsidP="006237F0">
      <w:pPr>
        <w:tabs>
          <w:tab w:val="left" w:pos="0"/>
        </w:tabs>
        <w:autoSpaceDE w:val="0"/>
        <w:autoSpaceDN w:val="0"/>
        <w:adjustRightInd w:val="0"/>
        <w:spacing w:before="120" w:after="120" w:line="360" w:lineRule="auto"/>
        <w:ind w:right="-1"/>
        <w:jc w:val="both"/>
        <w:rPr>
          <w:rFonts w:ascii="Arial" w:hAnsi="Arial" w:cs="Arial"/>
        </w:rPr>
      </w:pPr>
    </w:p>
    <w:p w:rsidR="006237F0" w:rsidRPr="0041426E" w:rsidRDefault="006237F0" w:rsidP="006237F0">
      <w:pPr>
        <w:tabs>
          <w:tab w:val="left" w:pos="0"/>
        </w:tabs>
        <w:autoSpaceDE w:val="0"/>
        <w:autoSpaceDN w:val="0"/>
        <w:adjustRightInd w:val="0"/>
        <w:spacing w:before="120" w:after="120" w:line="360" w:lineRule="auto"/>
        <w:ind w:right="-1"/>
        <w:jc w:val="both"/>
        <w:rPr>
          <w:rFonts w:ascii="Arial" w:hAnsi="Arial" w:cs="Arial"/>
        </w:rPr>
      </w:pPr>
      <w:r w:rsidRPr="0041426E">
        <w:rPr>
          <w:rFonts w:ascii="Arial" w:hAnsi="Arial" w:cs="Arial"/>
        </w:rPr>
        <w:t>Excelentíssimo Senhor Relator,</w:t>
      </w:r>
    </w:p>
    <w:p w:rsidR="006237F0" w:rsidRPr="0041426E" w:rsidRDefault="006237F0" w:rsidP="006237F0">
      <w:pPr>
        <w:tabs>
          <w:tab w:val="left" w:pos="426"/>
        </w:tabs>
        <w:autoSpaceDE w:val="0"/>
        <w:autoSpaceDN w:val="0"/>
        <w:adjustRightInd w:val="0"/>
        <w:spacing w:before="120" w:after="120" w:line="360" w:lineRule="auto"/>
        <w:ind w:left="426" w:right="-1"/>
        <w:jc w:val="both"/>
        <w:rPr>
          <w:rFonts w:ascii="Arial" w:hAnsi="Arial" w:cs="Arial"/>
        </w:rPr>
      </w:pPr>
    </w:p>
    <w:p w:rsidR="0032363B" w:rsidRDefault="006237F0"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sidRPr="0041426E">
        <w:rPr>
          <w:rFonts w:ascii="Arial" w:hAnsi="Arial" w:cs="Arial"/>
        </w:rPr>
        <w:t xml:space="preserve">Trata-se de Tomada de Contas Especial instaurada pela Secretaria de Estado de </w:t>
      </w:r>
      <w:r w:rsidR="0032363B">
        <w:rPr>
          <w:rFonts w:ascii="Arial" w:hAnsi="Arial" w:cs="Arial"/>
        </w:rPr>
        <w:t>Meio Ambiente e Desenvolvimento Sustentável (SEMAD), com o objetivo de apurar a responsabilidade e a ocorrência de dano ao erário, decorrente da aplicação dos recursos por ela repassados à Prefeitura Municipal de Guidoval, por meio do Convênio nº 1371010401509</w:t>
      </w:r>
      <w:r w:rsidR="00D371EA">
        <w:rPr>
          <w:rFonts w:ascii="Arial" w:hAnsi="Arial" w:cs="Arial"/>
        </w:rPr>
        <w:t>/2009</w:t>
      </w:r>
      <w:r w:rsidR="00072EF7">
        <w:rPr>
          <w:rFonts w:ascii="Arial" w:hAnsi="Arial" w:cs="Arial"/>
        </w:rPr>
        <w:t>, cuja cópia se encontra às fls. 268/278 (vol. 2)</w:t>
      </w:r>
      <w:r w:rsidR="0032363B">
        <w:rPr>
          <w:rFonts w:ascii="Arial" w:hAnsi="Arial" w:cs="Arial"/>
        </w:rPr>
        <w:t>.</w:t>
      </w:r>
    </w:p>
    <w:p w:rsidR="00072EF7" w:rsidRDefault="00072EF7"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O objeto do Convênio consistia no desenvolvimento do sistema de esgotamento sanitário do Município de Guidoval, com a construção de redes interceptoras, coletores, emissários, elevatórias e estação de tratamento de esgoto (ETE).</w:t>
      </w:r>
    </w:p>
    <w:p w:rsidR="00207122" w:rsidRDefault="00D33F7C"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A Comissão de Tomada de Contas Especial </w:t>
      </w:r>
      <w:r w:rsidR="00594337">
        <w:rPr>
          <w:rFonts w:ascii="Arial" w:hAnsi="Arial" w:cs="Arial"/>
        </w:rPr>
        <w:t xml:space="preserve">da SEMAD </w:t>
      </w:r>
      <w:r>
        <w:rPr>
          <w:rFonts w:ascii="Arial" w:hAnsi="Arial" w:cs="Arial"/>
        </w:rPr>
        <w:t xml:space="preserve">emitiu seu relatório às fls. 296/309 (vol. 2), em que concluiu pelo descumprimento do objeto pactuado e recomendou a devolução integral dos recursos repassados pela </w:t>
      </w:r>
      <w:r w:rsidR="00594337">
        <w:rPr>
          <w:rFonts w:ascii="Arial" w:hAnsi="Arial" w:cs="Arial"/>
        </w:rPr>
        <w:t>Secretaria de Estado</w:t>
      </w:r>
      <w:r>
        <w:rPr>
          <w:rFonts w:ascii="Arial" w:hAnsi="Arial" w:cs="Arial"/>
        </w:rPr>
        <w:t xml:space="preserve"> ao Município de Guidoval, </w:t>
      </w:r>
      <w:r w:rsidR="00594337">
        <w:rPr>
          <w:rFonts w:ascii="Arial" w:hAnsi="Arial" w:cs="Arial"/>
        </w:rPr>
        <w:t xml:space="preserve">apontando como responsável o </w:t>
      </w:r>
      <w:r>
        <w:rPr>
          <w:rFonts w:ascii="Arial" w:hAnsi="Arial" w:cs="Arial"/>
        </w:rPr>
        <w:t>Prefeito Municipal Élio Lopes Santos.</w:t>
      </w:r>
      <w:r w:rsidR="00207122">
        <w:rPr>
          <w:rFonts w:ascii="Arial" w:hAnsi="Arial" w:cs="Arial"/>
        </w:rPr>
        <w:t xml:space="preserve"> </w:t>
      </w:r>
    </w:p>
    <w:p w:rsidR="0032363B" w:rsidRDefault="00207122"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O relatório da Unidade Integrada de Auditoria (fls. </w:t>
      </w:r>
      <w:r w:rsidR="00705522">
        <w:rPr>
          <w:rFonts w:ascii="Arial" w:hAnsi="Arial" w:cs="Arial"/>
        </w:rPr>
        <w:t>362/372, vol. 2)</w:t>
      </w:r>
      <w:r>
        <w:rPr>
          <w:rFonts w:ascii="Arial" w:hAnsi="Arial" w:cs="Arial"/>
        </w:rPr>
        <w:t xml:space="preserve">, por sua vez, </w:t>
      </w:r>
      <w:r w:rsidR="00705522">
        <w:rPr>
          <w:rFonts w:ascii="Arial" w:hAnsi="Arial" w:cs="Arial"/>
        </w:rPr>
        <w:t xml:space="preserve">apontou falhas técnicas e formais ocorridas durante a execução do </w:t>
      </w:r>
      <w:r w:rsidR="00705522">
        <w:rPr>
          <w:rFonts w:ascii="Arial" w:hAnsi="Arial" w:cs="Arial"/>
        </w:rPr>
        <w:lastRenderedPageBreak/>
        <w:t>Convênio, bem como a ausência de prestação de contas e a vulnerabilidade dos mecanismos de controle interno.</w:t>
      </w:r>
    </w:p>
    <w:p w:rsidR="00063F16" w:rsidRDefault="00063F16"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O gestor do Convênio, por meio do Relatório Técnico GERUB nº 095/2012 (fl. 671, vol. </w:t>
      </w:r>
      <w:r w:rsidR="00D14EC0">
        <w:rPr>
          <w:rFonts w:ascii="Arial" w:hAnsi="Arial" w:cs="Arial"/>
        </w:rPr>
        <w:t>3), atestou a execução física de 24,35% das obras, representando o equivalente a R$ 434.968,93.</w:t>
      </w:r>
    </w:p>
    <w:p w:rsidR="00447013" w:rsidRDefault="00921265"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A documentação acostada foi examinada pela Unidade Técnica às fls. 1013/1039</w:t>
      </w:r>
      <w:r w:rsidR="00073FF0">
        <w:rPr>
          <w:rFonts w:ascii="Arial" w:hAnsi="Arial" w:cs="Arial"/>
        </w:rPr>
        <w:t xml:space="preserve"> (vol. 5)</w:t>
      </w:r>
      <w:r>
        <w:rPr>
          <w:rFonts w:ascii="Arial" w:hAnsi="Arial" w:cs="Arial"/>
        </w:rPr>
        <w:t>,</w:t>
      </w:r>
      <w:r w:rsidR="00BF245D">
        <w:rPr>
          <w:rFonts w:ascii="Arial" w:hAnsi="Arial" w:cs="Arial"/>
        </w:rPr>
        <w:t xml:space="preserve"> que</w:t>
      </w:r>
      <w:r>
        <w:rPr>
          <w:rFonts w:ascii="Arial" w:hAnsi="Arial" w:cs="Arial"/>
        </w:rPr>
        <w:t xml:space="preserve"> listou as irregularidades identificadas na execução do Convênio e na gestão financeira dos recursos, sugerindo </w:t>
      </w:r>
      <w:r w:rsidR="00073FF0">
        <w:rPr>
          <w:rFonts w:ascii="Arial" w:hAnsi="Arial" w:cs="Arial"/>
        </w:rPr>
        <w:t>a citação dos responsáveis, proposta que foi acatada pelo Conselheiro Relator à fl. 1045 (vol. 5).</w:t>
      </w:r>
    </w:p>
    <w:p w:rsidR="00282690" w:rsidRDefault="00282690"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O Sr. Élio Lopes dos Santos </w:t>
      </w:r>
      <w:r w:rsidR="009B1DE8">
        <w:rPr>
          <w:rFonts w:ascii="Arial" w:hAnsi="Arial" w:cs="Arial"/>
        </w:rPr>
        <w:t xml:space="preserve">trouxe as informações de </w:t>
      </w:r>
      <w:r>
        <w:rPr>
          <w:rFonts w:ascii="Arial" w:hAnsi="Arial" w:cs="Arial"/>
        </w:rPr>
        <w:t xml:space="preserve">fls. 1079/1080 (vol. 5), solicitando dilação de prazo para apresentação de documentação complementar. Embora deferido o pedido (fl. </w:t>
      </w:r>
      <w:r w:rsidR="009B1DE8">
        <w:rPr>
          <w:rFonts w:ascii="Arial" w:hAnsi="Arial" w:cs="Arial"/>
        </w:rPr>
        <w:t>1506, vol. 8), não houve nova manifestação (fl. 1597, vol. 8)</w:t>
      </w:r>
      <w:r>
        <w:rPr>
          <w:rFonts w:ascii="Arial" w:hAnsi="Arial" w:cs="Arial"/>
        </w:rPr>
        <w:t>.</w:t>
      </w:r>
    </w:p>
    <w:p w:rsidR="00073FF0" w:rsidRDefault="00BB718B"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As defesas dos Srs. Itamar Moreira Índio do Brasil</w:t>
      </w:r>
      <w:r w:rsidR="00327090">
        <w:rPr>
          <w:rFonts w:ascii="Arial" w:hAnsi="Arial" w:cs="Arial"/>
        </w:rPr>
        <w:t xml:space="preserve"> Júnior</w:t>
      </w:r>
      <w:r>
        <w:rPr>
          <w:rFonts w:ascii="Arial" w:hAnsi="Arial" w:cs="Arial"/>
        </w:rPr>
        <w:t>, Roger Alexandre Ribeiro, José Carlos Carvalho e Geraldo Magela Barcelos Martins foram juntadas, respectivamente, às fls. 1507/1519 1525/1526, 1527/1543 e 1587/1595 (todas do vol. 8) dos autos.</w:t>
      </w:r>
    </w:p>
    <w:p w:rsidR="00447013" w:rsidRDefault="004D2665"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Em que pese citado, o Sr. Wender Marcos Alves Rodrigues, representante legal da OSCIP Brasil Ação Solidária (BRASOL), não se manifestou (fl. 1597, vol. 8).</w:t>
      </w:r>
    </w:p>
    <w:p w:rsidR="004D2665" w:rsidRDefault="007D47D0"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No reexame de fls. 1598/1616 (vol. 8), a Unidade Técnica</w:t>
      </w:r>
      <w:r w:rsidR="00407905">
        <w:rPr>
          <w:rFonts w:ascii="Arial" w:hAnsi="Arial" w:cs="Arial"/>
        </w:rPr>
        <w:t xml:space="preserve"> entendeu pela irregularidade das contas</w:t>
      </w:r>
      <w:r w:rsidR="00BF245D">
        <w:rPr>
          <w:rFonts w:ascii="Arial" w:hAnsi="Arial" w:cs="Arial"/>
        </w:rPr>
        <w:t xml:space="preserve">, sendo o caso de aplicação de multa e de restituição ao erário no valor histórico de R$ 1.848.391,93, sob a responsabilidade, individualizada no estudo, dos Srs. Élio Lopes Santos, Itamar Moreira Índio do Brasil </w:t>
      </w:r>
      <w:r w:rsidR="00327090">
        <w:rPr>
          <w:rFonts w:ascii="Arial" w:hAnsi="Arial" w:cs="Arial"/>
        </w:rPr>
        <w:t xml:space="preserve">Júnior </w:t>
      </w:r>
      <w:r w:rsidR="00BF245D">
        <w:rPr>
          <w:rFonts w:ascii="Arial" w:hAnsi="Arial" w:cs="Arial"/>
        </w:rPr>
        <w:t>e Roger Alexandre Ribeiro, além da OSCIP BRASOL.</w:t>
      </w:r>
    </w:p>
    <w:p w:rsidR="006237F0" w:rsidRPr="0041426E" w:rsidRDefault="007D47D0"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spacing w:val="-6"/>
        </w:rPr>
      </w:pPr>
      <w:r>
        <w:rPr>
          <w:rFonts w:ascii="Arial" w:hAnsi="Arial" w:cs="Arial"/>
          <w:spacing w:val="-6"/>
        </w:rPr>
        <w:t>Vieram os autos, então,</w:t>
      </w:r>
      <w:r w:rsidR="006237F0" w:rsidRPr="0041426E">
        <w:rPr>
          <w:rFonts w:ascii="Arial" w:hAnsi="Arial" w:cs="Arial"/>
          <w:spacing w:val="-6"/>
        </w:rPr>
        <w:t xml:space="preserve"> ao Ministério Público de Contas para </w:t>
      </w:r>
      <w:r>
        <w:rPr>
          <w:rFonts w:ascii="Arial" w:hAnsi="Arial" w:cs="Arial"/>
          <w:spacing w:val="-6"/>
        </w:rPr>
        <w:t>apreciação</w:t>
      </w:r>
      <w:r w:rsidR="006237F0" w:rsidRPr="0041426E">
        <w:rPr>
          <w:rFonts w:ascii="Arial" w:hAnsi="Arial" w:cs="Arial"/>
          <w:spacing w:val="-6"/>
        </w:rPr>
        <w:t>.</w:t>
      </w:r>
    </w:p>
    <w:p w:rsidR="006237F0" w:rsidRPr="00316592" w:rsidRDefault="006237F0" w:rsidP="00316592">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sidRPr="0041426E">
        <w:rPr>
          <w:rFonts w:ascii="Arial" w:hAnsi="Arial" w:cs="Arial"/>
        </w:rPr>
        <w:t>É o relatório.</w:t>
      </w:r>
    </w:p>
    <w:p w:rsidR="006237F0" w:rsidRPr="0041426E" w:rsidRDefault="006237F0" w:rsidP="006237F0">
      <w:pPr>
        <w:tabs>
          <w:tab w:val="left" w:pos="426"/>
        </w:tabs>
        <w:autoSpaceDE w:val="0"/>
        <w:autoSpaceDN w:val="0"/>
        <w:adjustRightInd w:val="0"/>
        <w:spacing w:before="120" w:after="120" w:line="360" w:lineRule="auto"/>
        <w:ind w:right="-1"/>
        <w:jc w:val="center"/>
        <w:rPr>
          <w:rFonts w:ascii="Arial" w:hAnsi="Arial" w:cs="Arial"/>
          <w:b/>
          <w:u w:val="single"/>
        </w:rPr>
      </w:pPr>
      <w:r w:rsidRPr="0041426E">
        <w:rPr>
          <w:rFonts w:ascii="Arial" w:hAnsi="Arial" w:cs="Arial"/>
          <w:b/>
          <w:u w:val="single"/>
        </w:rPr>
        <w:lastRenderedPageBreak/>
        <w:t>FUNDAMENTAÇÃO</w:t>
      </w:r>
    </w:p>
    <w:p w:rsidR="006237F0" w:rsidRPr="0041426E" w:rsidRDefault="006237F0"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sidRPr="0041426E">
        <w:rPr>
          <w:rFonts w:ascii="Arial" w:hAnsi="Arial" w:cs="Arial"/>
        </w:rPr>
        <w:t xml:space="preserve">A matéria </w:t>
      </w:r>
      <w:r w:rsidR="00991053">
        <w:rPr>
          <w:rFonts w:ascii="Arial" w:hAnsi="Arial" w:cs="Arial"/>
        </w:rPr>
        <w:t xml:space="preserve">debatida nos autos </w:t>
      </w:r>
      <w:r w:rsidRPr="0041426E">
        <w:rPr>
          <w:rFonts w:ascii="Arial" w:hAnsi="Arial" w:cs="Arial"/>
        </w:rPr>
        <w:t>envolve a discussão sobre a regularidade da prestação de contas de recursos recebidos por entidades públicas e privadas mediante convênio com o poder público.</w:t>
      </w:r>
    </w:p>
    <w:p w:rsidR="006237F0" w:rsidRPr="0041426E" w:rsidRDefault="006237F0"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sz w:val="20"/>
          <w:szCs w:val="20"/>
        </w:rPr>
      </w:pPr>
      <w:r w:rsidRPr="0041426E">
        <w:rPr>
          <w:rFonts w:ascii="Arial" w:hAnsi="Arial" w:cs="Arial"/>
        </w:rPr>
        <w:t>Todo aquele que, de alguma forma, administra dinheiros, bens ou valores públicos deverá demonstrar a regularidade da sua aplicação por meio da prestação de contas a quem de direito. Nesse sentido</w:t>
      </w:r>
      <w:r w:rsidR="00316592">
        <w:rPr>
          <w:rFonts w:ascii="Arial" w:hAnsi="Arial" w:cs="Arial"/>
        </w:rPr>
        <w:t>,</w:t>
      </w:r>
      <w:r w:rsidRPr="0041426E">
        <w:rPr>
          <w:rFonts w:ascii="Arial" w:hAnsi="Arial" w:cs="Arial"/>
        </w:rPr>
        <w:t xml:space="preserve"> estabelece a Constituição da República: </w:t>
      </w:r>
    </w:p>
    <w:p w:rsidR="006237F0" w:rsidRPr="0041426E" w:rsidRDefault="006237F0" w:rsidP="00991053">
      <w:pPr>
        <w:ind w:left="2268"/>
        <w:jc w:val="both"/>
        <w:rPr>
          <w:rFonts w:ascii="Arial" w:hAnsi="Arial" w:cs="Arial"/>
          <w:sz w:val="20"/>
          <w:szCs w:val="20"/>
        </w:rPr>
      </w:pPr>
      <w:r w:rsidRPr="0041426E">
        <w:rPr>
          <w:rFonts w:ascii="Arial" w:hAnsi="Arial" w:cs="Arial"/>
          <w:sz w:val="20"/>
          <w:szCs w:val="20"/>
        </w:rPr>
        <w:t>Art. 70. A fiscalização contábil, financeira, orçamentária, operacional e patrimonial da União e das entidades da administração direta e indireta, quanto à legalidade, legitimidade, economicidade, aplicação das subvenções e renúncia de receitas, será exercida pelo Congresso Nacional, mediante controle externo, e pelo sistema de controle interno de cada Poder.</w:t>
      </w:r>
    </w:p>
    <w:p w:rsidR="006237F0" w:rsidRPr="0041426E" w:rsidRDefault="006237F0" w:rsidP="00991053">
      <w:pPr>
        <w:spacing w:after="200"/>
        <w:ind w:left="2268"/>
        <w:jc w:val="both"/>
        <w:rPr>
          <w:rFonts w:ascii="Arial" w:hAnsi="Arial" w:cs="Arial"/>
          <w:sz w:val="2"/>
          <w:szCs w:val="2"/>
        </w:rPr>
      </w:pPr>
      <w:bookmarkStart w:id="0" w:name="70PU"/>
      <w:bookmarkStart w:id="1" w:name="art70p"/>
      <w:bookmarkEnd w:id="0"/>
      <w:bookmarkEnd w:id="1"/>
      <w:r w:rsidRPr="0041426E">
        <w:rPr>
          <w:rFonts w:ascii="Arial" w:hAnsi="Arial" w:cs="Arial"/>
          <w:sz w:val="20"/>
          <w:szCs w:val="20"/>
        </w:rPr>
        <w:t xml:space="preserve">Parágrafo único. Prestará contas qualquer pessoa física ou jurídica, pública ou privada, que utilize, arrecade, guarde, gerencie ou administre dinheiros, bens e valores públicos ou pelos quais a União responda, ou que, em nome desta, assuma obrigações de natureza pecuniária. </w:t>
      </w:r>
    </w:p>
    <w:p w:rsidR="006237F0" w:rsidRPr="0041426E" w:rsidRDefault="006237F0"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bookmarkStart w:id="2" w:name="71"/>
      <w:bookmarkEnd w:id="2"/>
      <w:r w:rsidRPr="0041426E">
        <w:rPr>
          <w:rFonts w:ascii="Arial" w:hAnsi="Arial" w:cs="Arial"/>
        </w:rPr>
        <w:t>Dessa forma, se o responsável não prestar contas ou não demonstrar que administrou a coisa pública dentro dos ditames do ordenamento jurídico, será responsabilizado pessoalmente, com seu patrimônio particular.</w:t>
      </w:r>
    </w:p>
    <w:p w:rsidR="006237F0" w:rsidRPr="0041426E" w:rsidRDefault="00316592"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Na mesma linha se encontra</w:t>
      </w:r>
      <w:r w:rsidR="006237F0" w:rsidRPr="0041426E">
        <w:rPr>
          <w:rFonts w:ascii="Arial" w:hAnsi="Arial" w:cs="Arial"/>
        </w:rPr>
        <w:t xml:space="preserve"> a doutrina de Ubiratan Aguiar:</w:t>
      </w:r>
    </w:p>
    <w:p w:rsidR="006237F0" w:rsidRPr="0041426E" w:rsidRDefault="00991053" w:rsidP="00991053">
      <w:pPr>
        <w:spacing w:after="200"/>
        <w:ind w:left="2268"/>
        <w:jc w:val="both"/>
        <w:rPr>
          <w:rFonts w:ascii="Arial" w:hAnsi="Arial" w:cs="Arial"/>
          <w:sz w:val="20"/>
          <w:szCs w:val="20"/>
        </w:rPr>
      </w:pPr>
      <w:r>
        <w:rPr>
          <w:rFonts w:ascii="Arial" w:hAnsi="Arial" w:cs="Arial"/>
          <w:sz w:val="20"/>
          <w:szCs w:val="20"/>
        </w:rPr>
        <w:t>“</w:t>
      </w:r>
      <w:r w:rsidR="006237F0" w:rsidRPr="0041426E">
        <w:rPr>
          <w:rFonts w:ascii="Arial" w:hAnsi="Arial" w:cs="Arial"/>
          <w:sz w:val="20"/>
          <w:szCs w:val="20"/>
        </w:rPr>
        <w:t>a imputação de responsabilidade pessoal deriva da premissa básica de que a omissão na prestação de contas, ou a impugnação de despesas, pressupõe desvio de recursos públicos, pelo simples fato de não se saber acerca da destinação que lhes foi conferida ou por restar comprovada sua aplicação indevida.</w:t>
      </w:r>
      <w:r>
        <w:rPr>
          <w:rFonts w:ascii="Arial" w:hAnsi="Arial" w:cs="Arial"/>
          <w:sz w:val="20"/>
          <w:szCs w:val="20"/>
        </w:rPr>
        <w:t>”</w:t>
      </w:r>
      <w:r w:rsidR="006237F0" w:rsidRPr="00991053">
        <w:rPr>
          <w:rFonts w:ascii="Arial" w:hAnsi="Arial" w:cs="Arial"/>
          <w:sz w:val="20"/>
          <w:szCs w:val="20"/>
          <w:vertAlign w:val="superscript"/>
        </w:rPr>
        <w:footnoteReference w:id="1"/>
      </w:r>
    </w:p>
    <w:p w:rsidR="006237F0" w:rsidRPr="0041426E" w:rsidRDefault="006237F0"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sidRPr="0041426E">
        <w:rPr>
          <w:rFonts w:ascii="Arial" w:hAnsi="Arial" w:cs="Arial"/>
        </w:rPr>
        <w:t>Ressalte-se, ainda, que a falta de prestação de contas de valores públicos</w:t>
      </w:r>
      <w:r w:rsidR="00E7763A">
        <w:rPr>
          <w:rFonts w:ascii="Arial" w:hAnsi="Arial" w:cs="Arial"/>
        </w:rPr>
        <w:t>,</w:t>
      </w:r>
      <w:r w:rsidRPr="0041426E">
        <w:rPr>
          <w:rFonts w:ascii="Arial" w:hAnsi="Arial" w:cs="Arial"/>
        </w:rPr>
        <w:t xml:space="preserve"> recebidos para serem empregados nos termos acordados mediante um convênio</w:t>
      </w:r>
      <w:r w:rsidR="00E7763A">
        <w:rPr>
          <w:rFonts w:ascii="Arial" w:hAnsi="Arial" w:cs="Arial"/>
        </w:rPr>
        <w:t>,</w:t>
      </w:r>
      <w:r w:rsidRPr="0041426E">
        <w:rPr>
          <w:rFonts w:ascii="Arial" w:hAnsi="Arial" w:cs="Arial"/>
        </w:rPr>
        <w:t xml:space="preserve"> configura dano presumido, </w:t>
      </w:r>
      <w:r w:rsidR="00E7763A">
        <w:rPr>
          <w:rFonts w:ascii="Arial" w:hAnsi="Arial" w:cs="Arial"/>
        </w:rPr>
        <w:t>por</w:t>
      </w:r>
      <w:r w:rsidRPr="0041426E">
        <w:rPr>
          <w:rFonts w:ascii="Arial" w:hAnsi="Arial" w:cs="Arial"/>
        </w:rPr>
        <w:t xml:space="preserve"> suposto “desvio de recursos públicos”, uma vez que cabe ao gestor comprovar a correta aplicação desses valores.</w:t>
      </w:r>
    </w:p>
    <w:p w:rsidR="006237F0" w:rsidRPr="0041426E" w:rsidRDefault="006237F0"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sidRPr="0041426E">
        <w:rPr>
          <w:rFonts w:ascii="Arial" w:hAnsi="Arial" w:cs="Arial"/>
        </w:rPr>
        <w:lastRenderedPageBreak/>
        <w:t>Além disso, caberá ao responsável, somado ao dever de prestar contas, o ônus de demonstrar a existência de nexo entre o objeto descrito no termo do convênio e o que afirma ter sido executado.</w:t>
      </w:r>
      <w:r w:rsidRPr="00B559E3">
        <w:rPr>
          <w:rFonts w:ascii="Arial" w:hAnsi="Arial" w:cs="Arial"/>
          <w:sz w:val="20"/>
          <w:szCs w:val="20"/>
          <w:vertAlign w:val="superscript"/>
        </w:rPr>
        <w:footnoteReference w:id="2"/>
      </w:r>
      <w:r w:rsidRPr="0041426E">
        <w:rPr>
          <w:rFonts w:ascii="Arial" w:hAnsi="Arial" w:cs="Arial"/>
        </w:rPr>
        <w:t xml:space="preserve"> </w:t>
      </w:r>
    </w:p>
    <w:p w:rsidR="006237F0" w:rsidRPr="0041426E" w:rsidRDefault="00E7763A"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É este, aliás,</w:t>
      </w:r>
      <w:r w:rsidR="006237F0" w:rsidRPr="0041426E">
        <w:rPr>
          <w:rFonts w:ascii="Arial" w:hAnsi="Arial" w:cs="Arial"/>
        </w:rPr>
        <w:t xml:space="preserve"> o entendimento </w:t>
      </w:r>
      <w:r>
        <w:rPr>
          <w:rFonts w:ascii="Arial" w:hAnsi="Arial" w:cs="Arial"/>
        </w:rPr>
        <w:t>exarado pelo Tribunal de Contas da União, em seus julgados</w:t>
      </w:r>
      <w:r w:rsidR="006237F0" w:rsidRPr="0041426E">
        <w:rPr>
          <w:rFonts w:ascii="Arial" w:hAnsi="Arial" w:cs="Arial"/>
        </w:rPr>
        <w:t>:</w:t>
      </w:r>
    </w:p>
    <w:p w:rsidR="006237F0" w:rsidRPr="0041426E" w:rsidRDefault="006237F0" w:rsidP="00B559E3">
      <w:pPr>
        <w:spacing w:after="200"/>
        <w:ind w:left="2268"/>
        <w:jc w:val="both"/>
        <w:rPr>
          <w:rFonts w:ascii="Arial" w:hAnsi="Arial" w:cs="Arial"/>
          <w:sz w:val="20"/>
          <w:szCs w:val="20"/>
        </w:rPr>
      </w:pPr>
      <w:r w:rsidRPr="0041426E">
        <w:rPr>
          <w:rFonts w:ascii="Arial" w:hAnsi="Arial" w:cs="Arial"/>
          <w:sz w:val="20"/>
          <w:szCs w:val="20"/>
        </w:rPr>
        <w:t>Tomada de contas especial. Convênio. Execução do objeto. Contratação de empresa de fachada e execução das obras por terceiros. A existência física do objeto pactuado, por si só, não constitui elemento apto a provar a regular aplicação das verbas repassadas por meio do Tomada de Contas Especial. Convênio. Execução do objeto. Contratação de empresa de fachada e execução das obras por terceiros. A existência física do objeto pactuado, por si só, não constitui elemento apto a provar a regular aplicação das verbas repassadas por meio do convênio, sendo sua a obrigação de comprovar que o dinheiro repassado foi utilizado para custear as obras. É necessária a demonstração efetiva do nexo de causalidade entre as despesas realizadas e os recursos federais recebidos. Contas irregulares. Débito solidário e multa a ex-gestores e a sócio. Inabilitação para o exercício de cargo em comissão ou função de confiança.</w:t>
      </w:r>
      <w:r w:rsidRPr="0041426E">
        <w:rPr>
          <w:rFonts w:ascii="Arial" w:hAnsi="Arial" w:cs="Arial"/>
          <w:sz w:val="20"/>
          <w:szCs w:val="20"/>
          <w:vertAlign w:val="superscript"/>
        </w:rPr>
        <w:footnoteReference w:id="3"/>
      </w:r>
    </w:p>
    <w:p w:rsidR="006237F0" w:rsidRPr="0041426E" w:rsidRDefault="006237F0" w:rsidP="006237F0">
      <w:pPr>
        <w:tabs>
          <w:tab w:val="left" w:pos="1418"/>
        </w:tabs>
        <w:autoSpaceDE w:val="0"/>
        <w:autoSpaceDN w:val="0"/>
        <w:adjustRightInd w:val="0"/>
        <w:ind w:left="2268"/>
        <w:jc w:val="both"/>
        <w:rPr>
          <w:rFonts w:ascii="Helvetica" w:eastAsia="Calibri" w:hAnsi="Helvetica" w:cs="Helvetica"/>
          <w:sz w:val="2"/>
          <w:szCs w:val="2"/>
        </w:rPr>
      </w:pPr>
    </w:p>
    <w:p w:rsidR="006237F0" w:rsidRDefault="00316592"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Assim</w:t>
      </w:r>
      <w:r w:rsidR="006237F0" w:rsidRPr="0041426E">
        <w:rPr>
          <w:rFonts w:ascii="Arial" w:hAnsi="Arial" w:cs="Arial"/>
        </w:rPr>
        <w:t>, o gestor, na prestação das contas relativa ao convênio, para comprovar a regular aplicação dos recursos</w:t>
      </w:r>
      <w:r>
        <w:rPr>
          <w:rFonts w:ascii="Arial" w:hAnsi="Arial" w:cs="Arial"/>
        </w:rPr>
        <w:t xml:space="preserve"> recebidos</w:t>
      </w:r>
      <w:r w:rsidR="006237F0" w:rsidRPr="0041426E">
        <w:rPr>
          <w:rFonts w:ascii="Arial" w:hAnsi="Arial" w:cs="Arial"/>
        </w:rPr>
        <w:t xml:space="preserve">, deve demonstrar que os valores utilizados da conta convênio foram efetivamente gastos na execução do objeto acordado. </w:t>
      </w:r>
    </w:p>
    <w:p w:rsidR="00605D7F" w:rsidRDefault="00605D7F"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A partir dessas premissas aplicáveis às prestações de contas de recursos recebidos por meio de convênio, passa-se à análise pontual das questões suscitadas nos autos.</w:t>
      </w:r>
    </w:p>
    <w:p w:rsidR="00205CB6" w:rsidRDefault="00205CB6" w:rsidP="00205CB6">
      <w:pPr>
        <w:tabs>
          <w:tab w:val="left" w:pos="1418"/>
        </w:tabs>
        <w:autoSpaceDE w:val="0"/>
        <w:autoSpaceDN w:val="0"/>
        <w:adjustRightInd w:val="0"/>
        <w:spacing w:after="200" w:line="360" w:lineRule="auto"/>
        <w:jc w:val="both"/>
        <w:rPr>
          <w:rFonts w:ascii="Arial" w:hAnsi="Arial" w:cs="Arial"/>
        </w:rPr>
      </w:pPr>
      <w:r>
        <w:rPr>
          <w:rFonts w:ascii="Arial" w:hAnsi="Arial" w:cs="Arial"/>
          <w:b/>
        </w:rPr>
        <w:t>Da transferência dos recursos do convênio à OSCIP Brasil</w:t>
      </w:r>
      <w:r w:rsidR="00A6557F">
        <w:rPr>
          <w:rFonts w:ascii="Arial" w:hAnsi="Arial" w:cs="Arial"/>
          <w:b/>
        </w:rPr>
        <w:t xml:space="preserve"> Ação</w:t>
      </w:r>
      <w:r>
        <w:rPr>
          <w:rFonts w:ascii="Arial" w:hAnsi="Arial" w:cs="Arial"/>
          <w:b/>
        </w:rPr>
        <w:t xml:space="preserve"> Solidári</w:t>
      </w:r>
      <w:r w:rsidR="00A6557F">
        <w:rPr>
          <w:rFonts w:ascii="Arial" w:hAnsi="Arial" w:cs="Arial"/>
          <w:b/>
        </w:rPr>
        <w:t>a</w:t>
      </w:r>
    </w:p>
    <w:p w:rsidR="00316592" w:rsidRDefault="00205CB6"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Verifica-se às fls. 724/727 e 729/734 que a Prefeitura Municipal de Guidoval</w:t>
      </w:r>
      <w:r w:rsidR="005D2891">
        <w:rPr>
          <w:rFonts w:ascii="Arial" w:hAnsi="Arial" w:cs="Arial"/>
        </w:rPr>
        <w:t>, por ato do Prefeito Municipal</w:t>
      </w:r>
      <w:r w:rsidR="00412F7A">
        <w:rPr>
          <w:rFonts w:ascii="Arial" w:hAnsi="Arial" w:cs="Arial"/>
        </w:rPr>
        <w:t>,</w:t>
      </w:r>
      <w:r w:rsidR="00BA6985">
        <w:rPr>
          <w:rFonts w:ascii="Arial" w:hAnsi="Arial" w:cs="Arial"/>
        </w:rPr>
        <w:t xml:space="preserve"> atuando como ordenador de despesas,</w:t>
      </w:r>
      <w:r w:rsidR="005D2891">
        <w:rPr>
          <w:rFonts w:ascii="Arial" w:hAnsi="Arial" w:cs="Arial"/>
        </w:rPr>
        <w:t xml:space="preserve"> </w:t>
      </w:r>
      <w:r>
        <w:rPr>
          <w:rFonts w:ascii="Arial" w:hAnsi="Arial" w:cs="Arial"/>
        </w:rPr>
        <w:lastRenderedPageBreak/>
        <w:t xml:space="preserve">repassou a integralidade dos recursos recebidos da SEMAD à OSCIP Brasil </w:t>
      </w:r>
      <w:r w:rsidR="00A6557F">
        <w:rPr>
          <w:rFonts w:ascii="Arial" w:hAnsi="Arial" w:cs="Arial"/>
        </w:rPr>
        <w:t xml:space="preserve">Ação </w:t>
      </w:r>
      <w:r>
        <w:rPr>
          <w:rFonts w:ascii="Arial" w:hAnsi="Arial" w:cs="Arial"/>
        </w:rPr>
        <w:t>Solidári</w:t>
      </w:r>
      <w:r w:rsidR="00A6557F">
        <w:rPr>
          <w:rFonts w:ascii="Arial" w:hAnsi="Arial" w:cs="Arial"/>
        </w:rPr>
        <w:t>a</w:t>
      </w:r>
      <w:r>
        <w:rPr>
          <w:rFonts w:ascii="Arial" w:hAnsi="Arial" w:cs="Arial"/>
        </w:rPr>
        <w:t xml:space="preserve"> (Brasol), utilizando-se dos cheques nominais nº 850001, 850002 e 850003, </w:t>
      </w:r>
      <w:r w:rsidR="00BA6985">
        <w:rPr>
          <w:rFonts w:ascii="Arial" w:hAnsi="Arial" w:cs="Arial"/>
        </w:rPr>
        <w:t>da conta bancária vinculada ao convênio.</w:t>
      </w:r>
    </w:p>
    <w:p w:rsidR="00AD263E" w:rsidRDefault="00AD263E"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Cumpre, portanto, avaliar a regularidade da sua conduta, ante as obrigações assumidas em virtude dos termos do convênio e da legislação aplicável ao tema.</w:t>
      </w:r>
    </w:p>
    <w:p w:rsidR="00BA6985" w:rsidRDefault="00AD263E" w:rsidP="00881327">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Entre as disposições ajustadas por meio do instrumento, </w:t>
      </w:r>
      <w:r w:rsidR="00881327">
        <w:rPr>
          <w:rFonts w:ascii="Arial" w:hAnsi="Arial" w:cs="Arial"/>
        </w:rPr>
        <w:t xml:space="preserve">destacam-se como aplicáveis à situação </w:t>
      </w:r>
      <w:r w:rsidR="00474F2F">
        <w:rPr>
          <w:rFonts w:ascii="Arial" w:hAnsi="Arial" w:cs="Arial"/>
        </w:rPr>
        <w:t>as Cláusulas Terceira, subitem 3.2.1, e Sexta</w:t>
      </w:r>
      <w:r w:rsidR="00356AA1">
        <w:rPr>
          <w:rFonts w:ascii="Arial" w:hAnsi="Arial" w:cs="Arial"/>
        </w:rPr>
        <w:t xml:space="preserve"> do instrumento celebrado</w:t>
      </w:r>
      <w:r w:rsidR="00474F2F">
        <w:rPr>
          <w:rFonts w:ascii="Arial" w:hAnsi="Arial" w:cs="Arial"/>
        </w:rPr>
        <w:t>, que assim previam:</w:t>
      </w:r>
    </w:p>
    <w:p w:rsidR="00474F2F" w:rsidRDefault="00474F2F" w:rsidP="00474F2F">
      <w:pPr>
        <w:tabs>
          <w:tab w:val="left" w:pos="1418"/>
        </w:tabs>
        <w:autoSpaceDE w:val="0"/>
        <w:autoSpaceDN w:val="0"/>
        <w:adjustRightInd w:val="0"/>
        <w:ind w:left="2268"/>
        <w:jc w:val="both"/>
        <w:rPr>
          <w:rFonts w:ascii="Arial" w:hAnsi="Arial" w:cs="Arial"/>
          <w:sz w:val="20"/>
          <w:szCs w:val="20"/>
        </w:rPr>
      </w:pPr>
      <w:r>
        <w:rPr>
          <w:rFonts w:ascii="Arial" w:hAnsi="Arial" w:cs="Arial"/>
          <w:sz w:val="20"/>
          <w:szCs w:val="20"/>
        </w:rPr>
        <w:t>CLÁUSULA TERCEIRA – DAS OBRIGAÇÕES</w:t>
      </w:r>
    </w:p>
    <w:p w:rsidR="00474F2F" w:rsidRDefault="00474F2F" w:rsidP="00474F2F">
      <w:pPr>
        <w:tabs>
          <w:tab w:val="left" w:pos="1418"/>
        </w:tabs>
        <w:autoSpaceDE w:val="0"/>
        <w:autoSpaceDN w:val="0"/>
        <w:adjustRightInd w:val="0"/>
        <w:ind w:left="2268"/>
        <w:jc w:val="both"/>
        <w:rPr>
          <w:rFonts w:ascii="Arial" w:hAnsi="Arial" w:cs="Arial"/>
          <w:sz w:val="20"/>
          <w:szCs w:val="20"/>
        </w:rPr>
      </w:pPr>
      <w:r>
        <w:rPr>
          <w:rFonts w:ascii="Arial" w:hAnsi="Arial" w:cs="Arial"/>
          <w:sz w:val="20"/>
          <w:szCs w:val="20"/>
        </w:rPr>
        <w:t>[...]</w:t>
      </w:r>
    </w:p>
    <w:p w:rsidR="00474F2F" w:rsidRDefault="00474F2F" w:rsidP="00474F2F">
      <w:pPr>
        <w:tabs>
          <w:tab w:val="left" w:pos="1418"/>
        </w:tabs>
        <w:autoSpaceDE w:val="0"/>
        <w:autoSpaceDN w:val="0"/>
        <w:adjustRightInd w:val="0"/>
        <w:ind w:left="2268"/>
        <w:jc w:val="both"/>
        <w:rPr>
          <w:rFonts w:ascii="Arial" w:hAnsi="Arial" w:cs="Arial"/>
          <w:sz w:val="20"/>
          <w:szCs w:val="20"/>
        </w:rPr>
      </w:pPr>
      <w:r>
        <w:rPr>
          <w:rFonts w:ascii="Arial" w:hAnsi="Arial" w:cs="Arial"/>
          <w:sz w:val="20"/>
          <w:szCs w:val="20"/>
        </w:rPr>
        <w:t>3.2 – A CONVENENTE se compromete a:</w:t>
      </w:r>
    </w:p>
    <w:p w:rsidR="00474F2F" w:rsidRDefault="00474F2F" w:rsidP="00474F2F">
      <w:pPr>
        <w:tabs>
          <w:tab w:val="left" w:pos="1418"/>
        </w:tabs>
        <w:autoSpaceDE w:val="0"/>
        <w:autoSpaceDN w:val="0"/>
        <w:adjustRightInd w:val="0"/>
        <w:ind w:left="2268"/>
        <w:jc w:val="both"/>
        <w:rPr>
          <w:rFonts w:ascii="Arial" w:hAnsi="Arial" w:cs="Arial"/>
          <w:sz w:val="20"/>
          <w:szCs w:val="20"/>
        </w:rPr>
      </w:pPr>
      <w:r>
        <w:rPr>
          <w:rFonts w:ascii="Arial" w:hAnsi="Arial" w:cs="Arial"/>
          <w:sz w:val="20"/>
          <w:szCs w:val="20"/>
        </w:rPr>
        <w:t>3.2.1 – Assumir, exclusivamente, a responsabilidade técnica e civil decorrente do projeto objeto do Convênio;</w:t>
      </w:r>
    </w:p>
    <w:p w:rsidR="00474F2F" w:rsidRDefault="00474F2F" w:rsidP="00474F2F">
      <w:pPr>
        <w:tabs>
          <w:tab w:val="left" w:pos="1418"/>
        </w:tabs>
        <w:autoSpaceDE w:val="0"/>
        <w:autoSpaceDN w:val="0"/>
        <w:adjustRightInd w:val="0"/>
        <w:ind w:left="2268"/>
        <w:jc w:val="both"/>
        <w:rPr>
          <w:rFonts w:ascii="Arial" w:hAnsi="Arial" w:cs="Arial"/>
          <w:sz w:val="20"/>
          <w:szCs w:val="20"/>
        </w:rPr>
      </w:pPr>
      <w:r>
        <w:rPr>
          <w:rFonts w:ascii="Arial" w:hAnsi="Arial" w:cs="Arial"/>
          <w:sz w:val="20"/>
          <w:szCs w:val="20"/>
        </w:rPr>
        <w:t>[...]</w:t>
      </w:r>
    </w:p>
    <w:p w:rsidR="00474F2F" w:rsidRDefault="00474F2F" w:rsidP="00474F2F">
      <w:pPr>
        <w:tabs>
          <w:tab w:val="left" w:pos="1418"/>
        </w:tabs>
        <w:autoSpaceDE w:val="0"/>
        <w:autoSpaceDN w:val="0"/>
        <w:adjustRightInd w:val="0"/>
        <w:ind w:left="2268"/>
        <w:jc w:val="both"/>
        <w:rPr>
          <w:rFonts w:ascii="Arial" w:hAnsi="Arial" w:cs="Arial"/>
          <w:sz w:val="20"/>
          <w:szCs w:val="20"/>
        </w:rPr>
      </w:pPr>
      <w:r>
        <w:rPr>
          <w:rFonts w:ascii="Arial" w:hAnsi="Arial" w:cs="Arial"/>
          <w:sz w:val="20"/>
          <w:szCs w:val="20"/>
        </w:rPr>
        <w:t>CLÁUSULA SEXTA – DA MOVIMENTAÇÃO DOS RECURSOS</w:t>
      </w:r>
    </w:p>
    <w:p w:rsidR="00316592" w:rsidRPr="00004E62" w:rsidRDefault="00474F2F" w:rsidP="00004E62">
      <w:pPr>
        <w:tabs>
          <w:tab w:val="left" w:pos="1418"/>
        </w:tabs>
        <w:autoSpaceDE w:val="0"/>
        <w:autoSpaceDN w:val="0"/>
        <w:adjustRightInd w:val="0"/>
        <w:spacing w:after="200"/>
        <w:ind w:left="2268"/>
        <w:jc w:val="both"/>
        <w:rPr>
          <w:rFonts w:ascii="Arial" w:hAnsi="Arial" w:cs="Arial"/>
          <w:sz w:val="20"/>
          <w:szCs w:val="20"/>
        </w:rPr>
      </w:pPr>
      <w:r>
        <w:rPr>
          <w:rFonts w:ascii="Arial" w:hAnsi="Arial" w:cs="Arial"/>
          <w:sz w:val="20"/>
          <w:szCs w:val="20"/>
        </w:rPr>
        <w:t>Os recursos referentes ao presente Convênio serão mantidos EXCLUSIVAMENTE na conta nº 8339-9 – agência nº 3826-1, do Banco do Brasil</w:t>
      </w:r>
      <w:r w:rsidR="00356AA1">
        <w:rPr>
          <w:rFonts w:ascii="Arial" w:hAnsi="Arial" w:cs="Arial"/>
          <w:sz w:val="20"/>
          <w:szCs w:val="20"/>
        </w:rPr>
        <w:t>, no Município de Guidoval – MG, somente sendo permitidos saques para o pagamento de despesas previstas no PLANO DE TRABALHO, mediante ordem de pagamento ou cheque nominativo ao credor, assinado em conjunto por dois representantes do CONVENENTE.</w:t>
      </w:r>
    </w:p>
    <w:p w:rsidR="005477CD" w:rsidRDefault="0044147E"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sidRPr="0044147E">
        <w:rPr>
          <w:rFonts w:ascii="Arial" w:hAnsi="Arial" w:cs="Arial"/>
        </w:rPr>
        <w:t xml:space="preserve">Ao </w:t>
      </w:r>
      <w:r w:rsidR="00004E62" w:rsidRPr="0044147E">
        <w:rPr>
          <w:rFonts w:ascii="Arial" w:hAnsi="Arial" w:cs="Arial"/>
        </w:rPr>
        <w:t>se compromet</w:t>
      </w:r>
      <w:r w:rsidRPr="0044147E">
        <w:rPr>
          <w:rFonts w:ascii="Arial" w:hAnsi="Arial" w:cs="Arial"/>
        </w:rPr>
        <w:t>er</w:t>
      </w:r>
      <w:r w:rsidR="00004E62" w:rsidRPr="0044147E">
        <w:rPr>
          <w:rFonts w:ascii="Arial" w:hAnsi="Arial" w:cs="Arial"/>
        </w:rPr>
        <w:t xml:space="preserve"> a assumir, com caráter de exclusividade, a responsabilidade técnica e civil da execução do plano de trabalho</w:t>
      </w:r>
      <w:r w:rsidR="00074929">
        <w:rPr>
          <w:rFonts w:ascii="Arial" w:hAnsi="Arial" w:cs="Arial"/>
        </w:rPr>
        <w:t>, à vista da Cláusula Terceira, subitem 3.2.1</w:t>
      </w:r>
      <w:r w:rsidR="00004E62" w:rsidRPr="0044147E">
        <w:rPr>
          <w:rFonts w:ascii="Arial" w:hAnsi="Arial" w:cs="Arial"/>
        </w:rPr>
        <w:t>,</w:t>
      </w:r>
      <w:r w:rsidR="005477CD">
        <w:rPr>
          <w:rFonts w:ascii="Arial" w:hAnsi="Arial" w:cs="Arial"/>
        </w:rPr>
        <w:t xml:space="preserve"> deveria a Prefeitura Municipal promover as obras e as ações correlatas diretamente, licitando o que fosse necessário, mas mantendo a execução sob sua subordinação e seu gerenciamento.</w:t>
      </w:r>
    </w:p>
    <w:p w:rsidR="005477CD" w:rsidRPr="005477CD" w:rsidRDefault="005477CD" w:rsidP="005477CD">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Assim, afigura-se notoriamente violadora dessa Cláusula a delegação de </w:t>
      </w:r>
      <w:r w:rsidRPr="0044147E">
        <w:rPr>
          <w:rFonts w:ascii="Arial" w:hAnsi="Arial" w:cs="Arial"/>
        </w:rPr>
        <w:t xml:space="preserve">toda a gestão, elaboração e gerenciamento das </w:t>
      </w:r>
      <w:r>
        <w:rPr>
          <w:rFonts w:ascii="Arial" w:hAnsi="Arial" w:cs="Arial"/>
        </w:rPr>
        <w:t xml:space="preserve">atividades voltadas ao cumprimento do objeto, como fez o </w:t>
      </w:r>
      <w:r w:rsidR="00D160DD">
        <w:rPr>
          <w:rFonts w:ascii="Arial" w:hAnsi="Arial" w:cs="Arial"/>
        </w:rPr>
        <w:t xml:space="preserve">Poder </w:t>
      </w:r>
      <w:r>
        <w:rPr>
          <w:rFonts w:ascii="Arial" w:hAnsi="Arial" w:cs="Arial"/>
        </w:rPr>
        <w:t>Executivo local, ao celebrar com a OSCIP Brasol o Termo de Parceria nº 089/2008, cuja Cláusula Primeira dispunha:</w:t>
      </w:r>
    </w:p>
    <w:p w:rsidR="005477CD" w:rsidRPr="005477CD" w:rsidRDefault="005477CD" w:rsidP="005477CD">
      <w:pPr>
        <w:pStyle w:val="Textodenotaderodap"/>
        <w:ind w:left="2268"/>
        <w:jc w:val="both"/>
        <w:rPr>
          <w:rFonts w:ascii="Arial" w:hAnsi="Arial" w:cs="Arial"/>
        </w:rPr>
      </w:pPr>
      <w:r w:rsidRPr="005477CD">
        <w:rPr>
          <w:rFonts w:ascii="Arial" w:hAnsi="Arial" w:cs="Arial"/>
        </w:rPr>
        <w:t>CLÁUSULA PRIMEIRA – DO OBJETO</w:t>
      </w:r>
    </w:p>
    <w:p w:rsidR="005477CD" w:rsidRPr="005477CD" w:rsidRDefault="005477CD" w:rsidP="005477CD">
      <w:pPr>
        <w:tabs>
          <w:tab w:val="left" w:pos="1418"/>
        </w:tabs>
        <w:autoSpaceDE w:val="0"/>
        <w:autoSpaceDN w:val="0"/>
        <w:adjustRightInd w:val="0"/>
        <w:spacing w:after="200"/>
        <w:ind w:left="2268"/>
        <w:jc w:val="both"/>
        <w:rPr>
          <w:rFonts w:ascii="Arial" w:hAnsi="Arial" w:cs="Arial"/>
          <w:sz w:val="20"/>
          <w:szCs w:val="20"/>
        </w:rPr>
      </w:pPr>
      <w:r w:rsidRPr="005477CD">
        <w:rPr>
          <w:rFonts w:ascii="Arial" w:hAnsi="Arial" w:cs="Arial"/>
          <w:sz w:val="20"/>
          <w:szCs w:val="20"/>
        </w:rPr>
        <w:t xml:space="preserve">O presente TERMO DE PARCERIA tem por objeto a gestão, elaboração, gerenciamento e ações complementares dos meios de captação, transporte e tratamento dos efluentes sanitários domésticos, através de rede de coletores e estação de tratamento desses efluentes, que atendam às </w:t>
      </w:r>
      <w:r w:rsidRPr="005477CD">
        <w:rPr>
          <w:rFonts w:ascii="Arial" w:hAnsi="Arial" w:cs="Arial"/>
          <w:sz w:val="20"/>
          <w:szCs w:val="20"/>
        </w:rPr>
        <w:lastRenderedPageBreak/>
        <w:t>normas ambientais e de engenharia sanitária confor</w:t>
      </w:r>
      <w:r>
        <w:rPr>
          <w:rFonts w:ascii="Arial" w:hAnsi="Arial" w:cs="Arial"/>
          <w:sz w:val="20"/>
          <w:szCs w:val="20"/>
        </w:rPr>
        <w:t>me plano de trabalho em anexo. [</w:t>
      </w:r>
      <w:r w:rsidRPr="005477CD">
        <w:rPr>
          <w:rFonts w:ascii="Arial" w:hAnsi="Arial" w:cs="Arial"/>
          <w:sz w:val="20"/>
          <w:szCs w:val="20"/>
        </w:rPr>
        <w:t>fl. 1102, vol. 6</w:t>
      </w:r>
      <w:r>
        <w:rPr>
          <w:rFonts w:ascii="Arial" w:hAnsi="Arial" w:cs="Arial"/>
          <w:sz w:val="20"/>
          <w:szCs w:val="20"/>
        </w:rPr>
        <w:t>]</w:t>
      </w:r>
      <w:r w:rsidRPr="005477CD">
        <w:rPr>
          <w:rFonts w:ascii="Arial" w:hAnsi="Arial" w:cs="Arial"/>
          <w:sz w:val="20"/>
          <w:szCs w:val="20"/>
        </w:rPr>
        <w:t>.</w:t>
      </w:r>
    </w:p>
    <w:p w:rsidR="00946D6A" w:rsidRPr="005477CD" w:rsidRDefault="00004E62"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sidRPr="005477CD">
        <w:rPr>
          <w:rFonts w:ascii="Arial" w:hAnsi="Arial" w:cs="Arial"/>
        </w:rPr>
        <w:t xml:space="preserve"> </w:t>
      </w:r>
      <w:r w:rsidR="009E18AD" w:rsidRPr="005477CD">
        <w:rPr>
          <w:rFonts w:ascii="Arial" w:hAnsi="Arial" w:cs="Arial"/>
        </w:rPr>
        <w:t xml:space="preserve">Além do evidente descumprimento da cláusula estabelecida no Convênio, que, por si, já é suficiente para ensejar a </w:t>
      </w:r>
      <w:r w:rsidR="00D160DD">
        <w:rPr>
          <w:rFonts w:ascii="Arial" w:hAnsi="Arial" w:cs="Arial"/>
        </w:rPr>
        <w:t xml:space="preserve">responsabilização </w:t>
      </w:r>
      <w:r w:rsidR="009E18AD" w:rsidRPr="005477CD">
        <w:rPr>
          <w:rFonts w:ascii="Arial" w:hAnsi="Arial" w:cs="Arial"/>
        </w:rPr>
        <w:t xml:space="preserve">do responsável, </w:t>
      </w:r>
      <w:r w:rsidR="00946D6A" w:rsidRPr="005477CD">
        <w:rPr>
          <w:rFonts w:ascii="Arial" w:hAnsi="Arial" w:cs="Arial"/>
        </w:rPr>
        <w:t xml:space="preserve">não se pode deixar de refletir sobre a regularidade da atuação </w:t>
      </w:r>
      <w:r w:rsidR="00F02E9D" w:rsidRPr="005477CD">
        <w:rPr>
          <w:rFonts w:ascii="Arial" w:hAnsi="Arial" w:cs="Arial"/>
        </w:rPr>
        <w:t>da OSCIP</w:t>
      </w:r>
      <w:r w:rsidR="00FA77CE">
        <w:rPr>
          <w:rFonts w:ascii="Arial" w:hAnsi="Arial" w:cs="Arial"/>
        </w:rPr>
        <w:t xml:space="preserve"> na situação concreta</w:t>
      </w:r>
      <w:r w:rsidR="00946D6A" w:rsidRPr="005477CD">
        <w:rPr>
          <w:rFonts w:ascii="Arial" w:hAnsi="Arial" w:cs="Arial"/>
        </w:rPr>
        <w:t xml:space="preserve"> sob o prisma </w:t>
      </w:r>
      <w:r w:rsidR="00C219C4" w:rsidRPr="005477CD">
        <w:rPr>
          <w:rFonts w:ascii="Arial" w:hAnsi="Arial" w:cs="Arial"/>
        </w:rPr>
        <w:t>teleológico</w:t>
      </w:r>
      <w:r w:rsidR="00FA77CE">
        <w:rPr>
          <w:rFonts w:ascii="Arial" w:hAnsi="Arial" w:cs="Arial"/>
        </w:rPr>
        <w:t>,</w:t>
      </w:r>
      <w:r w:rsidR="00946D6A" w:rsidRPr="005477CD">
        <w:rPr>
          <w:rFonts w:ascii="Arial" w:hAnsi="Arial" w:cs="Arial"/>
        </w:rPr>
        <w:t xml:space="preserve"> independentemente de permissão convencional.</w:t>
      </w:r>
    </w:p>
    <w:p w:rsidR="00946D6A" w:rsidRDefault="000B6ACA"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Advirta-se que, nesta avaliação, utilizar-se-á como marco legal apenas a Lei nº 9.790, de 1999, e sua leitura constitucional, uma vez que as Leis nº 13.019, de 2014, e 13.204, de 2015, </w:t>
      </w:r>
      <w:r w:rsidR="005F0CFA">
        <w:rPr>
          <w:rFonts w:ascii="Arial" w:hAnsi="Arial" w:cs="Arial"/>
        </w:rPr>
        <w:t>são posteriores</w:t>
      </w:r>
      <w:r>
        <w:rPr>
          <w:rFonts w:ascii="Arial" w:hAnsi="Arial" w:cs="Arial"/>
        </w:rPr>
        <w:t xml:space="preserve"> à celebração do Convênio e do Termo de Parceria.</w:t>
      </w:r>
    </w:p>
    <w:p w:rsidR="000F24BC" w:rsidRDefault="00DD5948"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Com efeito, embora já se visualizasse</w:t>
      </w:r>
      <w:r w:rsidR="000D61BD">
        <w:rPr>
          <w:rFonts w:ascii="Arial" w:hAnsi="Arial" w:cs="Arial"/>
        </w:rPr>
        <w:t>m</w:t>
      </w:r>
      <w:r>
        <w:rPr>
          <w:rFonts w:ascii="Arial" w:hAnsi="Arial" w:cs="Arial"/>
        </w:rPr>
        <w:t xml:space="preserve"> algumas hipóteses de cooperação entre as esferas pública e privada em momento anterior, foi no contexto da reforma da Administração Pública que o Terceiro Setor</w:t>
      </w:r>
      <w:r w:rsidR="000F24BC">
        <w:rPr>
          <w:rFonts w:ascii="Arial" w:hAnsi="Arial" w:cs="Arial"/>
        </w:rPr>
        <w:t xml:space="preserve"> – entendido em linhas gerais como as entidades privadas sem fins lucrativos, com atividades direcionadas a um propósito público – alçou o </w:t>
      </w:r>
      <w:r w:rsidR="000F24BC" w:rsidRPr="00EB6CBD">
        <w:rPr>
          <w:rFonts w:ascii="Arial" w:hAnsi="Arial" w:cs="Arial"/>
          <w:i/>
        </w:rPr>
        <w:t>status</w:t>
      </w:r>
      <w:r w:rsidR="000F24BC">
        <w:rPr>
          <w:rFonts w:ascii="Arial" w:hAnsi="Arial" w:cs="Arial"/>
        </w:rPr>
        <w:t xml:space="preserve"> de efetivo parceiro do Poder Público</w:t>
      </w:r>
      <w:r w:rsidR="000F24BC" w:rsidRPr="000F24BC">
        <w:rPr>
          <w:rFonts w:ascii="Arial" w:hAnsi="Arial" w:cs="Arial"/>
        </w:rPr>
        <w:t xml:space="preserve"> </w:t>
      </w:r>
      <w:r w:rsidR="000F24BC">
        <w:rPr>
          <w:rFonts w:ascii="Arial" w:hAnsi="Arial" w:cs="Arial"/>
        </w:rPr>
        <w:t>tanto na legislação quanto na realidade administrativa.</w:t>
      </w:r>
    </w:p>
    <w:p w:rsidR="000D61BD" w:rsidRDefault="000D61BD" w:rsidP="00E62743">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Inseridas nessa ideia intermediária entre o governo e o mercado, as Organizações da Sociedade Civil de Interesse Público (OSCIP</w:t>
      </w:r>
      <w:r w:rsidR="000F24BC">
        <w:rPr>
          <w:rFonts w:ascii="Arial" w:hAnsi="Arial" w:cs="Arial"/>
        </w:rPr>
        <w:t>s</w:t>
      </w:r>
      <w:r>
        <w:rPr>
          <w:rFonts w:ascii="Arial" w:hAnsi="Arial" w:cs="Arial"/>
        </w:rPr>
        <w:t xml:space="preserve">) foram regulamentadas, em seus aspectos gerais, pela Lei nº 9.790, de 1999, </w:t>
      </w:r>
      <w:r w:rsidR="00FE7B0A">
        <w:rPr>
          <w:rFonts w:ascii="Arial" w:hAnsi="Arial" w:cs="Arial"/>
        </w:rPr>
        <w:t xml:space="preserve">que </w:t>
      </w:r>
      <w:r w:rsidR="0076781D">
        <w:rPr>
          <w:rFonts w:ascii="Arial" w:hAnsi="Arial" w:cs="Arial"/>
        </w:rPr>
        <w:t>atribui</w:t>
      </w:r>
      <w:r w:rsidR="00FE7B0A">
        <w:rPr>
          <w:rFonts w:ascii="Arial" w:hAnsi="Arial" w:cs="Arial"/>
        </w:rPr>
        <w:t>u</w:t>
      </w:r>
      <w:r w:rsidR="0076781D">
        <w:rPr>
          <w:rFonts w:ascii="Arial" w:hAnsi="Arial" w:cs="Arial"/>
        </w:rPr>
        <w:t xml:space="preserve"> tal qualificação àquelas entidades cuja atuação é orientada por critérios de solidariedade e de promoção do bem</w:t>
      </w:r>
      <w:r w:rsidR="00BA0EF9">
        <w:rPr>
          <w:rFonts w:ascii="Arial" w:hAnsi="Arial" w:cs="Arial"/>
        </w:rPr>
        <w:t xml:space="preserve"> comum, sem finalidade de lucro, </w:t>
      </w:r>
      <w:r w:rsidR="00E62743">
        <w:rPr>
          <w:rFonts w:ascii="Arial" w:hAnsi="Arial" w:cs="Arial"/>
        </w:rPr>
        <w:t xml:space="preserve">permitindo a utilização de recursos materiais e humanos </w:t>
      </w:r>
      <w:r w:rsidR="007419A3">
        <w:rPr>
          <w:rFonts w:ascii="Arial" w:hAnsi="Arial" w:cs="Arial"/>
        </w:rPr>
        <w:t xml:space="preserve">da Administração </w:t>
      </w:r>
      <w:r w:rsidR="00E62743">
        <w:rPr>
          <w:rFonts w:ascii="Arial" w:hAnsi="Arial" w:cs="Arial"/>
        </w:rPr>
        <w:t>para a consecução dos seus objetivos públicos, quando estabelecido vínculo de cooperação</w:t>
      </w:r>
      <w:r w:rsidR="00FE7B0A">
        <w:rPr>
          <w:rFonts w:ascii="Arial" w:hAnsi="Arial" w:cs="Arial"/>
        </w:rPr>
        <w:t xml:space="preserve"> por meio de</w:t>
      </w:r>
      <w:r w:rsidR="00BA0EF9">
        <w:rPr>
          <w:rFonts w:ascii="Arial" w:hAnsi="Arial" w:cs="Arial"/>
        </w:rPr>
        <w:t xml:space="preserve"> Termo de Parceria.</w:t>
      </w:r>
    </w:p>
    <w:p w:rsidR="00BA0EF9" w:rsidRDefault="000F24BC" w:rsidP="000F24BC">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sidRPr="000F24BC">
        <w:rPr>
          <w:rFonts w:ascii="Arial" w:hAnsi="Arial" w:cs="Arial"/>
        </w:rPr>
        <w:t>A celebração de Termos de Parceria com as OSCIPs, por se realizar com a</w:t>
      </w:r>
      <w:r w:rsidR="00BA0EF9" w:rsidRPr="000F24BC">
        <w:rPr>
          <w:rFonts w:ascii="Arial" w:hAnsi="Arial" w:cs="Arial"/>
        </w:rPr>
        <w:t xml:space="preserve"> interveniência de órgãos </w:t>
      </w:r>
      <w:r w:rsidR="007419A3" w:rsidRPr="000F24BC">
        <w:rPr>
          <w:rFonts w:ascii="Arial" w:hAnsi="Arial" w:cs="Arial"/>
        </w:rPr>
        <w:t>do Poder Público</w:t>
      </w:r>
      <w:r w:rsidR="00BA0EF9" w:rsidRPr="000F24BC">
        <w:rPr>
          <w:rFonts w:ascii="Arial" w:hAnsi="Arial" w:cs="Arial"/>
        </w:rPr>
        <w:t xml:space="preserve">, </w:t>
      </w:r>
      <w:r>
        <w:rPr>
          <w:rFonts w:ascii="Arial" w:hAnsi="Arial" w:cs="Arial"/>
        </w:rPr>
        <w:t>incluindo</w:t>
      </w:r>
      <w:r w:rsidRPr="000F24BC">
        <w:rPr>
          <w:rFonts w:ascii="Arial" w:hAnsi="Arial" w:cs="Arial"/>
        </w:rPr>
        <w:t xml:space="preserve"> seu pessoal, sua estrutura ou seus recursos financeiros, </w:t>
      </w:r>
      <w:r w:rsidR="00BA0EF9">
        <w:rPr>
          <w:rFonts w:ascii="Arial" w:hAnsi="Arial" w:cs="Arial"/>
        </w:rPr>
        <w:t xml:space="preserve">traz consigo a incidência dos princípios basilares do Direito Administrativo, inscritos no </w:t>
      </w:r>
      <w:r w:rsidR="00BA0EF9" w:rsidRPr="00BA0EF9">
        <w:rPr>
          <w:rFonts w:ascii="Arial" w:hAnsi="Arial" w:cs="Arial"/>
          <w:i/>
        </w:rPr>
        <w:t>caput</w:t>
      </w:r>
      <w:r w:rsidR="00BA0EF9">
        <w:rPr>
          <w:rFonts w:ascii="Arial" w:hAnsi="Arial" w:cs="Arial"/>
        </w:rPr>
        <w:t xml:space="preserve"> do art. 37 da Constituição da </w:t>
      </w:r>
      <w:r w:rsidR="00BA0EF9">
        <w:rPr>
          <w:rFonts w:ascii="Arial" w:hAnsi="Arial" w:cs="Arial"/>
        </w:rPr>
        <w:lastRenderedPageBreak/>
        <w:t>República, vale dizer</w:t>
      </w:r>
      <w:r w:rsidR="00D160DD">
        <w:rPr>
          <w:rFonts w:ascii="Arial" w:hAnsi="Arial" w:cs="Arial"/>
        </w:rPr>
        <w:t>,</w:t>
      </w:r>
      <w:r w:rsidR="00BA0EF9">
        <w:rPr>
          <w:rFonts w:ascii="Arial" w:hAnsi="Arial" w:cs="Arial"/>
        </w:rPr>
        <w:t xml:space="preserve"> a legalidade, a impessoalidade, a moralidade, a publicidade e a eficiência, que, aliás, foram reforçados com a dicção do art. 4º, I, da Lei nº 9.790, de 1999</w:t>
      </w:r>
      <w:r w:rsidR="00517E3C">
        <w:rPr>
          <w:rStyle w:val="Refdenotaderodap"/>
          <w:rFonts w:ascii="Arial" w:hAnsi="Arial" w:cs="Arial"/>
        </w:rPr>
        <w:footnoteReference w:id="4"/>
      </w:r>
      <w:r w:rsidR="00BA0EF9">
        <w:rPr>
          <w:rFonts w:ascii="Arial" w:hAnsi="Arial" w:cs="Arial"/>
        </w:rPr>
        <w:t>.</w:t>
      </w:r>
    </w:p>
    <w:p w:rsidR="009442A2" w:rsidRDefault="009442A2"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A</w:t>
      </w:r>
      <w:r w:rsidR="00434282">
        <w:rPr>
          <w:rFonts w:ascii="Arial" w:hAnsi="Arial" w:cs="Arial"/>
        </w:rPr>
        <w:t xml:space="preserve">ssim, dentro do arcabouço constitucional e administrativo instituído desde 1988, </w:t>
      </w:r>
      <w:r w:rsidR="00C219C4">
        <w:rPr>
          <w:rFonts w:ascii="Arial" w:hAnsi="Arial" w:cs="Arial"/>
        </w:rPr>
        <w:t xml:space="preserve">não há espaço para se utilizar da política de fomento, </w:t>
      </w:r>
      <w:r w:rsidR="004C5500">
        <w:rPr>
          <w:rFonts w:ascii="Arial" w:hAnsi="Arial" w:cs="Arial"/>
        </w:rPr>
        <w:t>concebida sob os</w:t>
      </w:r>
      <w:r w:rsidR="00C219C4">
        <w:rPr>
          <w:rFonts w:ascii="Arial" w:hAnsi="Arial" w:cs="Arial"/>
        </w:rPr>
        <w:t xml:space="preserve"> fundamentos mais altruístas, </w:t>
      </w:r>
      <w:r w:rsidR="001F56B7">
        <w:rPr>
          <w:rFonts w:ascii="Arial" w:hAnsi="Arial" w:cs="Arial"/>
        </w:rPr>
        <w:t>para beneficiar entidades que, embora atendam formalmente os requisitos legais, não</w:t>
      </w:r>
      <w:r w:rsidR="004C5500">
        <w:rPr>
          <w:rFonts w:ascii="Arial" w:hAnsi="Arial" w:cs="Arial"/>
        </w:rPr>
        <w:t xml:space="preserve"> estejam verdadeiramente imbuídas dos propósitos públicos e sociais, com vista à concretização da gestão pública democrática e da participação social.</w:t>
      </w:r>
    </w:p>
    <w:p w:rsidR="00653244" w:rsidRDefault="004C5500"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Quer se dizer com isso que a Administração Pública, </w:t>
      </w:r>
      <w:r w:rsidR="00454AAD">
        <w:rPr>
          <w:rFonts w:ascii="Arial" w:hAnsi="Arial" w:cs="Arial"/>
        </w:rPr>
        <w:t>ao escolher os parceiros privados para auxiliá-la na execução das políticas públicas e no atendimento aos anseios da sociedade</w:t>
      </w:r>
      <w:r>
        <w:rPr>
          <w:rFonts w:ascii="Arial" w:hAnsi="Arial" w:cs="Arial"/>
        </w:rPr>
        <w:t xml:space="preserve">, </w:t>
      </w:r>
      <w:r w:rsidR="004F7B4D">
        <w:rPr>
          <w:rFonts w:ascii="Arial" w:hAnsi="Arial" w:cs="Arial"/>
        </w:rPr>
        <w:t xml:space="preserve">deve </w:t>
      </w:r>
      <w:r w:rsidR="00653244">
        <w:rPr>
          <w:rFonts w:ascii="Arial" w:hAnsi="Arial" w:cs="Arial"/>
        </w:rPr>
        <w:t xml:space="preserve">estabelecer </w:t>
      </w:r>
      <w:r w:rsidR="00D160DD">
        <w:rPr>
          <w:rFonts w:ascii="Arial" w:hAnsi="Arial" w:cs="Arial"/>
        </w:rPr>
        <w:t xml:space="preserve">a </w:t>
      </w:r>
      <w:r w:rsidR="00653244">
        <w:rPr>
          <w:rFonts w:ascii="Arial" w:hAnsi="Arial" w:cs="Arial"/>
        </w:rPr>
        <w:t>distinção</w:t>
      </w:r>
      <w:r w:rsidR="00D160DD">
        <w:rPr>
          <w:rFonts w:ascii="Arial" w:hAnsi="Arial" w:cs="Arial"/>
        </w:rPr>
        <w:t xml:space="preserve"> </w:t>
      </w:r>
      <w:r w:rsidR="00EB6CBD">
        <w:rPr>
          <w:rFonts w:ascii="Arial" w:hAnsi="Arial" w:cs="Arial"/>
        </w:rPr>
        <w:t xml:space="preserve">das entidades, na forma que </w:t>
      </w:r>
      <w:r w:rsidR="00D160DD">
        <w:rPr>
          <w:rFonts w:ascii="Arial" w:hAnsi="Arial" w:cs="Arial"/>
        </w:rPr>
        <w:t>se segue.</w:t>
      </w:r>
    </w:p>
    <w:p w:rsidR="00653244" w:rsidRDefault="00D160DD"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Quand</w:t>
      </w:r>
      <w:r w:rsidR="00653244">
        <w:rPr>
          <w:rFonts w:ascii="Arial" w:hAnsi="Arial" w:cs="Arial"/>
        </w:rPr>
        <w:t>o os particulares compartilham seus objetivos com os da Administração e trabalham em prol da coletividade, ou seja</w:t>
      </w:r>
      <w:r>
        <w:rPr>
          <w:rFonts w:ascii="Arial" w:hAnsi="Arial" w:cs="Arial"/>
        </w:rPr>
        <w:t>,</w:t>
      </w:r>
      <w:r w:rsidR="00653244">
        <w:rPr>
          <w:rFonts w:ascii="Arial" w:hAnsi="Arial" w:cs="Arial"/>
        </w:rPr>
        <w:t xml:space="preserve"> quando os propósitos são convergentes, configura-se a atuação em colaboração, em que a lei permitiu a cooperação do parceiro público</w:t>
      </w:r>
      <w:r w:rsidR="005C2D2E">
        <w:rPr>
          <w:rFonts w:ascii="Arial" w:hAnsi="Arial" w:cs="Arial"/>
        </w:rPr>
        <w:t xml:space="preserve">, inclusive com a </w:t>
      </w:r>
      <w:r w:rsidR="00653244">
        <w:rPr>
          <w:rFonts w:ascii="Arial" w:hAnsi="Arial" w:cs="Arial"/>
        </w:rPr>
        <w:t>disponibilização de recursos</w:t>
      </w:r>
      <w:r w:rsidR="005C2D2E">
        <w:rPr>
          <w:rFonts w:ascii="Arial" w:hAnsi="Arial" w:cs="Arial"/>
        </w:rPr>
        <w:t>, uma vez celebrado Termo de Parceria</w:t>
      </w:r>
      <w:r w:rsidR="00653244">
        <w:rPr>
          <w:rFonts w:ascii="Arial" w:hAnsi="Arial" w:cs="Arial"/>
        </w:rPr>
        <w:t>.</w:t>
      </w:r>
    </w:p>
    <w:p w:rsidR="004C5500" w:rsidRDefault="00653244"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sidRPr="005C2D2E">
        <w:rPr>
          <w:rFonts w:ascii="Arial" w:hAnsi="Arial" w:cs="Arial"/>
        </w:rPr>
        <w:t>Há</w:t>
      </w:r>
      <w:r w:rsidR="005C2D2E" w:rsidRPr="005C2D2E">
        <w:rPr>
          <w:rFonts w:ascii="Arial" w:hAnsi="Arial" w:cs="Arial"/>
        </w:rPr>
        <w:t xml:space="preserve"> </w:t>
      </w:r>
      <w:r w:rsidRPr="005C2D2E">
        <w:rPr>
          <w:rFonts w:ascii="Arial" w:hAnsi="Arial" w:cs="Arial"/>
        </w:rPr>
        <w:t>situações</w:t>
      </w:r>
      <w:r w:rsidR="005C2D2E" w:rsidRPr="005C2D2E">
        <w:rPr>
          <w:rFonts w:ascii="Arial" w:hAnsi="Arial" w:cs="Arial"/>
        </w:rPr>
        <w:t>, todavia,</w:t>
      </w:r>
      <w:r w:rsidRPr="005C2D2E">
        <w:rPr>
          <w:rFonts w:ascii="Arial" w:hAnsi="Arial" w:cs="Arial"/>
        </w:rPr>
        <w:t xml:space="preserve"> em que os particulares miram vantagens próprias</w:t>
      </w:r>
      <w:r w:rsidR="005C2D2E" w:rsidRPr="005C2D2E">
        <w:rPr>
          <w:rFonts w:ascii="Arial" w:hAnsi="Arial" w:cs="Arial"/>
        </w:rPr>
        <w:t>, prestando serviços próprios de mercado (Segundo Setor), ainda que o resultado final (por exemplo, a execução de obra) seja de interesse geral e público. Nesses casos, o vínculo com a Administração deve ser estabelecido por meio de contrato, uma vez que os interesses são contrapostos, observando as regras gerais que garantam a todos os interessados a igualdade de oportunidades, como é o caso da licitação.</w:t>
      </w:r>
    </w:p>
    <w:p w:rsidR="008F62E3" w:rsidRDefault="0090240E"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lastRenderedPageBreak/>
        <w:t xml:space="preserve">Essa </w:t>
      </w:r>
      <w:r w:rsidR="004F28D5">
        <w:rPr>
          <w:rFonts w:ascii="Arial" w:hAnsi="Arial" w:cs="Arial"/>
        </w:rPr>
        <w:t>distinção</w:t>
      </w:r>
      <w:r>
        <w:rPr>
          <w:rFonts w:ascii="Arial" w:hAnsi="Arial" w:cs="Arial"/>
        </w:rPr>
        <w:t xml:space="preserve"> é salutar para que os mecanismos criados para incremento da prestação dos serviços públicos não </w:t>
      </w:r>
      <w:r w:rsidR="008F62E3">
        <w:rPr>
          <w:rFonts w:ascii="Arial" w:hAnsi="Arial" w:cs="Arial"/>
        </w:rPr>
        <w:t>constituam escusa para descumprimento das obrigações legais e constitucionais, sofrendo desvio de finalidade e, por consequência, violando os princípios da</w:t>
      </w:r>
      <w:r w:rsidR="00BB4171">
        <w:rPr>
          <w:rFonts w:ascii="Arial" w:hAnsi="Arial" w:cs="Arial"/>
        </w:rPr>
        <w:t xml:space="preserve"> impessoalidade e da moralidade</w:t>
      </w:r>
      <w:r w:rsidR="008F62E3">
        <w:rPr>
          <w:rFonts w:ascii="Arial" w:hAnsi="Arial" w:cs="Arial"/>
        </w:rPr>
        <w:t xml:space="preserve"> que se pretendeu </w:t>
      </w:r>
      <w:r w:rsidR="00BB4171">
        <w:rPr>
          <w:rFonts w:ascii="Arial" w:hAnsi="Arial" w:cs="Arial"/>
        </w:rPr>
        <w:t>estimular</w:t>
      </w:r>
      <w:r w:rsidR="008F62E3">
        <w:rPr>
          <w:rFonts w:ascii="Arial" w:hAnsi="Arial" w:cs="Arial"/>
        </w:rPr>
        <w:t>.</w:t>
      </w:r>
    </w:p>
    <w:p w:rsidR="004F7B4D" w:rsidRDefault="008F62E3"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Alinhando-se a essa leitura teleológica das regras definidas na Lei nº 9.790, de 1999, Carlos Inácio Prates, Advogado da União </w:t>
      </w:r>
      <w:r w:rsidR="00615D0A">
        <w:rPr>
          <w:rFonts w:ascii="Arial" w:hAnsi="Arial" w:cs="Arial"/>
        </w:rPr>
        <w:t>em exercício n</w:t>
      </w:r>
      <w:r>
        <w:rPr>
          <w:rFonts w:ascii="Arial" w:hAnsi="Arial" w:cs="Arial"/>
        </w:rPr>
        <w:t>o Ministério da Justiça, traz reflexões valiosas acerca da prestação onerosa de serviços pelas OSCIPs, ora transcritas:</w:t>
      </w:r>
    </w:p>
    <w:p w:rsidR="00316592" w:rsidRDefault="00EB3C76" w:rsidP="00EB3C76">
      <w:pPr>
        <w:tabs>
          <w:tab w:val="left" w:pos="1418"/>
        </w:tabs>
        <w:autoSpaceDE w:val="0"/>
        <w:autoSpaceDN w:val="0"/>
        <w:adjustRightInd w:val="0"/>
        <w:ind w:left="2268"/>
        <w:jc w:val="both"/>
        <w:rPr>
          <w:rFonts w:ascii="Arial" w:hAnsi="Arial" w:cs="Arial"/>
          <w:sz w:val="20"/>
          <w:szCs w:val="20"/>
        </w:rPr>
      </w:pPr>
      <w:r>
        <w:rPr>
          <w:rFonts w:ascii="Arial" w:hAnsi="Arial" w:cs="Arial"/>
          <w:sz w:val="20"/>
          <w:szCs w:val="20"/>
        </w:rPr>
        <w:t>“Segundo o magistério de SABO PAES, o importante, no caso, é saber e identificar se o exercício de uma atividade empresarial pela fundação desnatura sua essência e se choca com o seu caráter altruísta, se sua atuação é legal e ética.</w:t>
      </w:r>
    </w:p>
    <w:p w:rsidR="00EB3C76" w:rsidRDefault="00EB3C76" w:rsidP="00EB3C76">
      <w:pPr>
        <w:tabs>
          <w:tab w:val="left" w:pos="1418"/>
        </w:tabs>
        <w:autoSpaceDE w:val="0"/>
        <w:autoSpaceDN w:val="0"/>
        <w:adjustRightInd w:val="0"/>
        <w:ind w:left="2268"/>
        <w:jc w:val="both"/>
        <w:rPr>
          <w:rFonts w:ascii="Arial" w:hAnsi="Arial" w:cs="Arial"/>
          <w:sz w:val="20"/>
          <w:szCs w:val="20"/>
        </w:rPr>
      </w:pPr>
      <w:r>
        <w:rPr>
          <w:rFonts w:ascii="Arial" w:hAnsi="Arial" w:cs="Arial"/>
          <w:sz w:val="20"/>
          <w:szCs w:val="20"/>
        </w:rPr>
        <w:t>[...]</w:t>
      </w:r>
    </w:p>
    <w:p w:rsidR="00CC4AC5" w:rsidRPr="00EB6CBD" w:rsidRDefault="00CC4AC5" w:rsidP="00EB3C76">
      <w:pPr>
        <w:tabs>
          <w:tab w:val="left" w:pos="1418"/>
        </w:tabs>
        <w:autoSpaceDE w:val="0"/>
        <w:autoSpaceDN w:val="0"/>
        <w:adjustRightInd w:val="0"/>
        <w:ind w:left="2268"/>
        <w:jc w:val="both"/>
        <w:rPr>
          <w:rFonts w:ascii="Arial" w:hAnsi="Arial" w:cs="Arial"/>
          <w:b/>
          <w:sz w:val="20"/>
          <w:szCs w:val="20"/>
        </w:rPr>
      </w:pPr>
      <w:r>
        <w:rPr>
          <w:rFonts w:ascii="Arial" w:hAnsi="Arial" w:cs="Arial"/>
          <w:sz w:val="20"/>
          <w:szCs w:val="20"/>
        </w:rPr>
        <w:t xml:space="preserve">A Procuradoria Geral Especializada da Procuradoria Federal do Departamento de Obras Contra Secas, ao tratar do assunto, reconheceu, no Parecer 109/PGF/PF/DNOCS/CJU/DVT/2006, que a entidade vencedora de licitação para fornecimento de mão-de-obra terceirizada realizava atividade incompatível à condição de OSCIP, e manifestou-se pela ilicitude do contrato firmado, recomendando a formal declaração de nulidade dos atos referentes à contratação [...]. </w:t>
      </w:r>
      <w:r w:rsidRPr="00EB6CBD">
        <w:rPr>
          <w:rFonts w:ascii="Arial" w:hAnsi="Arial" w:cs="Arial"/>
          <w:b/>
          <w:sz w:val="20"/>
          <w:szCs w:val="20"/>
        </w:rPr>
        <w:t>Entendeu aquela Procuradoria que uma OSCIP só pode desenvolver atividades de interesse social</w:t>
      </w:r>
      <w:r w:rsidR="00161CB6" w:rsidRPr="00EB6CBD">
        <w:rPr>
          <w:rFonts w:ascii="Arial" w:hAnsi="Arial" w:cs="Arial"/>
          <w:b/>
          <w:sz w:val="20"/>
          <w:szCs w:val="20"/>
        </w:rPr>
        <w:t>, em especial as arroladas no art. 3º da lei, e não outras com intuitos econômico-comerciais, sendo evidente não poder se valer de sua condição de OSCIP, de que decorrem imunidades, para atividade estranha a esse tipo de sociedade civil, uma vez que a atividade contratada, por outro lado, era própria de empresas comerciais que se dedicam à atividade econômica com fins de lucro.</w:t>
      </w:r>
    </w:p>
    <w:p w:rsidR="00161CB6" w:rsidRDefault="00161CB6" w:rsidP="00EB3C76">
      <w:pPr>
        <w:tabs>
          <w:tab w:val="left" w:pos="1418"/>
        </w:tabs>
        <w:autoSpaceDE w:val="0"/>
        <w:autoSpaceDN w:val="0"/>
        <w:adjustRightInd w:val="0"/>
        <w:ind w:left="2268"/>
        <w:jc w:val="both"/>
        <w:rPr>
          <w:rFonts w:ascii="Arial" w:hAnsi="Arial" w:cs="Arial"/>
          <w:sz w:val="20"/>
          <w:szCs w:val="20"/>
        </w:rPr>
      </w:pPr>
      <w:r>
        <w:rPr>
          <w:rFonts w:ascii="Arial" w:hAnsi="Arial" w:cs="Arial"/>
          <w:sz w:val="20"/>
          <w:szCs w:val="20"/>
        </w:rPr>
        <w:t xml:space="preserve">Enfrentando caso análogo, </w:t>
      </w:r>
      <w:r w:rsidR="0025564E">
        <w:rPr>
          <w:rFonts w:ascii="Arial" w:hAnsi="Arial" w:cs="Arial"/>
          <w:sz w:val="20"/>
          <w:szCs w:val="20"/>
        </w:rPr>
        <w:t>a Assessoria Jurídica do Tribunal de Contas do Estado do Ceará, através do Parecer nº 601/2006, adotou a posição de que a qualificação como OSCIP tem em vista o objetivo definido de ‘celebrar, com poderes e órgãos públicos, termos de parceria para a execução de planos, programas, projetos e atividades de utilidade e interesse público’. Assim, segundo a Assessoria do TCE-CE, os termos de parceria que venham a ser subscritos por qualquer OSCIP, deveriam se limitar às atividades sociais previstas taxativamente nos incisos do art. 3º da Lei 9.790, de 1999, e, por isso, não encontra amparo legal a inserção no estatuto da organização da sociedade civil de interesse público – OSCIP, de cláusulas que estabelecem a possibilidade de terceirização de mão-de-obra para órgãos públicos, mesmo que as titulando como atividades complementares para a obtenção de recursos para o autossustento da entidade.</w:t>
      </w:r>
    </w:p>
    <w:p w:rsidR="00CC4AC5" w:rsidRDefault="00CC4AC5" w:rsidP="00EB3C76">
      <w:pPr>
        <w:tabs>
          <w:tab w:val="left" w:pos="1418"/>
        </w:tabs>
        <w:autoSpaceDE w:val="0"/>
        <w:autoSpaceDN w:val="0"/>
        <w:adjustRightInd w:val="0"/>
        <w:ind w:left="2268"/>
        <w:jc w:val="both"/>
        <w:rPr>
          <w:rFonts w:ascii="Arial" w:hAnsi="Arial" w:cs="Arial"/>
          <w:sz w:val="20"/>
          <w:szCs w:val="20"/>
        </w:rPr>
      </w:pPr>
      <w:r>
        <w:rPr>
          <w:rFonts w:ascii="Arial" w:hAnsi="Arial" w:cs="Arial"/>
          <w:sz w:val="20"/>
          <w:szCs w:val="20"/>
        </w:rPr>
        <w:t>[...]</w:t>
      </w:r>
    </w:p>
    <w:p w:rsidR="00EB3C76" w:rsidRDefault="001E3523" w:rsidP="00EB3C76">
      <w:pPr>
        <w:tabs>
          <w:tab w:val="left" w:pos="1418"/>
        </w:tabs>
        <w:autoSpaceDE w:val="0"/>
        <w:autoSpaceDN w:val="0"/>
        <w:adjustRightInd w:val="0"/>
        <w:ind w:left="2268"/>
        <w:jc w:val="both"/>
        <w:rPr>
          <w:rFonts w:ascii="Arial" w:hAnsi="Arial" w:cs="Arial"/>
          <w:sz w:val="20"/>
          <w:szCs w:val="20"/>
        </w:rPr>
      </w:pPr>
      <w:r w:rsidRPr="00EB6CBD">
        <w:rPr>
          <w:rFonts w:ascii="Arial" w:hAnsi="Arial" w:cs="Arial"/>
          <w:b/>
          <w:sz w:val="20"/>
          <w:szCs w:val="20"/>
        </w:rPr>
        <w:t xml:space="preserve">A constatação de que a entidade passa a agir como uma verdadeira empresa comercial, auferindo lucro e colocando no mercado seus produtos e serviços de forma mercantilista, configura desvio de suas </w:t>
      </w:r>
      <w:r w:rsidRPr="00EB6CBD">
        <w:rPr>
          <w:rFonts w:ascii="Arial" w:hAnsi="Arial" w:cs="Arial"/>
          <w:b/>
          <w:sz w:val="20"/>
          <w:szCs w:val="20"/>
        </w:rPr>
        <w:lastRenderedPageBreak/>
        <w:t>finalidades sociais para as quais foi instituída e caracteriza a nocividade do seu objeto</w:t>
      </w:r>
      <w:r>
        <w:rPr>
          <w:rFonts w:ascii="Arial" w:hAnsi="Arial" w:cs="Arial"/>
          <w:sz w:val="20"/>
          <w:szCs w:val="20"/>
        </w:rPr>
        <w:t>.</w:t>
      </w:r>
    </w:p>
    <w:p w:rsidR="001E3523" w:rsidRDefault="001E3523" w:rsidP="00EB3C76">
      <w:pPr>
        <w:tabs>
          <w:tab w:val="left" w:pos="1418"/>
        </w:tabs>
        <w:autoSpaceDE w:val="0"/>
        <w:autoSpaceDN w:val="0"/>
        <w:adjustRightInd w:val="0"/>
        <w:ind w:left="2268"/>
        <w:jc w:val="both"/>
        <w:rPr>
          <w:rFonts w:ascii="Arial" w:hAnsi="Arial" w:cs="Arial"/>
          <w:sz w:val="20"/>
          <w:szCs w:val="20"/>
        </w:rPr>
      </w:pPr>
      <w:r>
        <w:rPr>
          <w:rFonts w:ascii="Arial" w:hAnsi="Arial" w:cs="Arial"/>
          <w:sz w:val="20"/>
          <w:szCs w:val="20"/>
        </w:rPr>
        <w:t>[...]</w:t>
      </w:r>
    </w:p>
    <w:p w:rsidR="001E3523" w:rsidRDefault="001E3523" w:rsidP="00EB3C76">
      <w:pPr>
        <w:tabs>
          <w:tab w:val="left" w:pos="1418"/>
        </w:tabs>
        <w:autoSpaceDE w:val="0"/>
        <w:autoSpaceDN w:val="0"/>
        <w:adjustRightInd w:val="0"/>
        <w:ind w:left="2268"/>
        <w:jc w:val="both"/>
        <w:rPr>
          <w:rFonts w:ascii="Arial" w:hAnsi="Arial" w:cs="Arial"/>
          <w:sz w:val="20"/>
          <w:szCs w:val="20"/>
        </w:rPr>
      </w:pPr>
      <w:r>
        <w:rPr>
          <w:rFonts w:ascii="Arial" w:hAnsi="Arial" w:cs="Arial"/>
          <w:sz w:val="20"/>
          <w:szCs w:val="20"/>
        </w:rPr>
        <w:t>Porém, o fornecimento de mão-de-obra terceirizada para órgãos públicos que atuam em áreas diversas deveria ser firmado por contrato, pois não visa fomentar as finalidades de interesse público arroladas na Lei 9.790, de 1999, mas simplesmente a captação de recursos para a autossustentabilidade da entidade. Neste ponto é importante fazer as seguintes considerações: não se mostra razoável que uma pessoa jurídica (associação) que receba benefícios fiscais do Estado (imunidades/isenções) – portanto que possui uma posição privilegiada na formação de seus custos – possa concorrer nas mesmas condições e receber o mesmo tratamento jurídico que outras pessoas jurídicas (empresas), que não recebem do Estado os mesmos benefícios.</w:t>
      </w:r>
    </w:p>
    <w:p w:rsidR="001E3523" w:rsidRDefault="001E3523" w:rsidP="00EB3C76">
      <w:pPr>
        <w:tabs>
          <w:tab w:val="left" w:pos="1418"/>
        </w:tabs>
        <w:autoSpaceDE w:val="0"/>
        <w:autoSpaceDN w:val="0"/>
        <w:adjustRightInd w:val="0"/>
        <w:ind w:left="2268"/>
        <w:jc w:val="both"/>
        <w:rPr>
          <w:rFonts w:ascii="Arial" w:hAnsi="Arial" w:cs="Arial"/>
          <w:sz w:val="20"/>
          <w:szCs w:val="20"/>
        </w:rPr>
      </w:pPr>
      <w:r>
        <w:rPr>
          <w:rFonts w:ascii="Arial" w:hAnsi="Arial" w:cs="Arial"/>
          <w:sz w:val="20"/>
          <w:szCs w:val="20"/>
        </w:rPr>
        <w:t>[...]</w:t>
      </w:r>
    </w:p>
    <w:p w:rsidR="001E3523" w:rsidRDefault="001E3523" w:rsidP="00EB3C76">
      <w:pPr>
        <w:tabs>
          <w:tab w:val="left" w:pos="1418"/>
        </w:tabs>
        <w:autoSpaceDE w:val="0"/>
        <w:autoSpaceDN w:val="0"/>
        <w:adjustRightInd w:val="0"/>
        <w:ind w:left="2268"/>
        <w:jc w:val="both"/>
        <w:rPr>
          <w:rFonts w:ascii="Arial" w:hAnsi="Arial" w:cs="Arial"/>
          <w:sz w:val="20"/>
          <w:szCs w:val="20"/>
        </w:rPr>
      </w:pPr>
      <w:r>
        <w:rPr>
          <w:rFonts w:ascii="Arial" w:hAnsi="Arial" w:cs="Arial"/>
          <w:sz w:val="20"/>
          <w:szCs w:val="20"/>
        </w:rPr>
        <w:t>A Lei de OSCIPs autoriza a prestação de serviço intermediário para órgãos públicos que atuam em áreas afins dos interesses públicos</w:t>
      </w:r>
      <w:r w:rsidR="00085E76">
        <w:rPr>
          <w:rFonts w:ascii="Arial" w:hAnsi="Arial" w:cs="Arial"/>
          <w:sz w:val="20"/>
          <w:szCs w:val="20"/>
        </w:rPr>
        <w:t xml:space="preserve"> nela estabelecidos, através do instrumento termo de parceria, como por exemplo o fornecimento de mão-de-obra terceirizada, desde que ela seja contratada pela OSCIP por procedimentos seletivos regidos pelos princípios constitucionais da legalidade, impessoalidade, moralidade, publicidade, economicidade e eficiência.</w:t>
      </w:r>
    </w:p>
    <w:p w:rsidR="00085E76" w:rsidRPr="00EB3C76" w:rsidRDefault="00085E76" w:rsidP="002778FD">
      <w:pPr>
        <w:tabs>
          <w:tab w:val="left" w:pos="1418"/>
        </w:tabs>
        <w:autoSpaceDE w:val="0"/>
        <w:autoSpaceDN w:val="0"/>
        <w:adjustRightInd w:val="0"/>
        <w:spacing w:after="200"/>
        <w:ind w:left="2268"/>
        <w:jc w:val="both"/>
        <w:rPr>
          <w:rFonts w:ascii="Arial" w:hAnsi="Arial" w:cs="Arial"/>
          <w:sz w:val="20"/>
          <w:szCs w:val="20"/>
        </w:rPr>
      </w:pPr>
      <w:r>
        <w:rPr>
          <w:rFonts w:ascii="Arial" w:hAnsi="Arial" w:cs="Arial"/>
          <w:sz w:val="20"/>
          <w:szCs w:val="20"/>
        </w:rPr>
        <w:t>Os órgãos públicos que atuam em áreas diversas que desejam contratar serviços terceirizados devem ter o cuidado de elaborar normas tutelando a igualdade entre os participantes, estabelecendo no termo de referência e no edital de licitação as categorias de pessoas jurídicas aptas a participar do certame, de acordo com a sua natureza jurídica e qualificações, a fim de evitar fraudes e garantir o princípio constitucional da isonomia.”</w:t>
      </w:r>
      <w:r>
        <w:rPr>
          <w:rStyle w:val="Refdenotaderodap"/>
          <w:rFonts w:ascii="Arial" w:hAnsi="Arial" w:cs="Arial"/>
          <w:sz w:val="20"/>
          <w:szCs w:val="20"/>
        </w:rPr>
        <w:footnoteReference w:id="5"/>
      </w:r>
    </w:p>
    <w:p w:rsidR="00A14265" w:rsidRDefault="00A14265"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Nessas situações, </w:t>
      </w:r>
      <w:r w:rsidR="00231DED">
        <w:rPr>
          <w:rFonts w:ascii="Arial" w:hAnsi="Arial" w:cs="Arial"/>
        </w:rPr>
        <w:t>a incidência direta d</w:t>
      </w:r>
      <w:r>
        <w:rPr>
          <w:rFonts w:ascii="Arial" w:hAnsi="Arial" w:cs="Arial"/>
        </w:rPr>
        <w:t xml:space="preserve">os princípios constitucionais da impessoalidade e da </w:t>
      </w:r>
      <w:r w:rsidR="00231DED">
        <w:rPr>
          <w:rFonts w:ascii="Arial" w:hAnsi="Arial" w:cs="Arial"/>
        </w:rPr>
        <w:t xml:space="preserve">moralidade, ainda que em momento </w:t>
      </w:r>
      <w:r w:rsidR="00302060">
        <w:rPr>
          <w:rFonts w:ascii="Arial" w:hAnsi="Arial" w:cs="Arial"/>
        </w:rPr>
        <w:t>anterior</w:t>
      </w:r>
      <w:r w:rsidR="00231DED">
        <w:rPr>
          <w:rFonts w:ascii="Arial" w:hAnsi="Arial" w:cs="Arial"/>
        </w:rPr>
        <w:t xml:space="preserve"> ao advento das Leis nº 13.019, de 2014</w:t>
      </w:r>
      <w:r w:rsidR="005D3357">
        <w:rPr>
          <w:rFonts w:ascii="Arial" w:hAnsi="Arial" w:cs="Arial"/>
        </w:rPr>
        <w:t>,</w:t>
      </w:r>
      <w:r w:rsidR="00231DED">
        <w:rPr>
          <w:rFonts w:ascii="Arial" w:hAnsi="Arial" w:cs="Arial"/>
        </w:rPr>
        <w:t xml:space="preserve"> e 13.204, de 2015, implicaria a realização de se</w:t>
      </w:r>
      <w:r w:rsidR="0025564E">
        <w:rPr>
          <w:rFonts w:ascii="Arial" w:hAnsi="Arial" w:cs="Arial"/>
        </w:rPr>
        <w:t>leção pública</w:t>
      </w:r>
      <w:r w:rsidR="00231DED">
        <w:rPr>
          <w:rFonts w:ascii="Arial" w:hAnsi="Arial" w:cs="Arial"/>
        </w:rPr>
        <w:t xml:space="preserve"> para escolha do particular que receberia os recursos da Administração para remunerá-lo pelo serviço prestado onerosamente, sob pena de estabelecer preferência de um em detrimento de outros fornecedores</w:t>
      </w:r>
      <w:r w:rsidR="0025564E">
        <w:rPr>
          <w:rFonts w:ascii="Arial" w:hAnsi="Arial" w:cs="Arial"/>
        </w:rPr>
        <w:t>, sem justificativa de caráter coletivo</w:t>
      </w:r>
      <w:r w:rsidR="00231DED">
        <w:rPr>
          <w:rFonts w:ascii="Arial" w:hAnsi="Arial" w:cs="Arial"/>
        </w:rPr>
        <w:t>.</w:t>
      </w:r>
    </w:p>
    <w:p w:rsidR="002778FD" w:rsidRDefault="0002509E"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Transportando tais considerações </w:t>
      </w:r>
      <w:r w:rsidR="005D3357">
        <w:rPr>
          <w:rFonts w:ascii="Arial" w:hAnsi="Arial" w:cs="Arial"/>
        </w:rPr>
        <w:t xml:space="preserve">para o caso em tela, </w:t>
      </w:r>
      <w:r w:rsidR="004C496D">
        <w:rPr>
          <w:rFonts w:ascii="Arial" w:hAnsi="Arial" w:cs="Arial"/>
        </w:rPr>
        <w:t>parece-nos evidenciad</w:t>
      </w:r>
      <w:r w:rsidR="00F65B00">
        <w:rPr>
          <w:rFonts w:ascii="Arial" w:hAnsi="Arial" w:cs="Arial"/>
        </w:rPr>
        <w:t>a</w:t>
      </w:r>
      <w:r w:rsidR="004C496D">
        <w:rPr>
          <w:rFonts w:ascii="Arial" w:hAnsi="Arial" w:cs="Arial"/>
        </w:rPr>
        <w:t xml:space="preserve"> concretamente </w:t>
      </w:r>
      <w:r w:rsidR="00F65B00">
        <w:rPr>
          <w:rFonts w:ascii="Arial" w:hAnsi="Arial" w:cs="Arial"/>
        </w:rPr>
        <w:t xml:space="preserve">a hipótese em que a OSCIP oferece serviços </w:t>
      </w:r>
      <w:r w:rsidR="00442637">
        <w:rPr>
          <w:rFonts w:ascii="Arial" w:hAnsi="Arial" w:cs="Arial"/>
        </w:rPr>
        <w:t xml:space="preserve">com características </w:t>
      </w:r>
      <w:r w:rsidR="00F65B00">
        <w:rPr>
          <w:rFonts w:ascii="Arial" w:hAnsi="Arial" w:cs="Arial"/>
        </w:rPr>
        <w:t>própri</w:t>
      </w:r>
      <w:r w:rsidR="00442637">
        <w:rPr>
          <w:rFonts w:ascii="Arial" w:hAnsi="Arial" w:cs="Arial"/>
        </w:rPr>
        <w:t>a</w:t>
      </w:r>
      <w:r w:rsidR="00F65B00">
        <w:rPr>
          <w:rFonts w:ascii="Arial" w:hAnsi="Arial" w:cs="Arial"/>
        </w:rPr>
        <w:t>s do mercado – a gestão do desenvolvimento de sistema</w:t>
      </w:r>
      <w:r w:rsidR="00810E2F">
        <w:rPr>
          <w:rFonts w:ascii="Arial" w:hAnsi="Arial" w:cs="Arial"/>
        </w:rPr>
        <w:t xml:space="preserve"> de esgotamento sanitário, com a construção de redes interceptoras, coletores, emissários, elevatórias e estação de tratamento de esgoto –</w:t>
      </w:r>
      <w:r w:rsidR="00DE3123">
        <w:rPr>
          <w:rFonts w:ascii="Arial" w:hAnsi="Arial" w:cs="Arial"/>
        </w:rPr>
        <w:t xml:space="preserve">, recebendo o vultuoso </w:t>
      </w:r>
      <w:r w:rsidR="00DE3123">
        <w:rPr>
          <w:rFonts w:ascii="Arial" w:hAnsi="Arial" w:cs="Arial"/>
        </w:rPr>
        <w:lastRenderedPageBreak/>
        <w:t xml:space="preserve">montante </w:t>
      </w:r>
      <w:r w:rsidR="00442637">
        <w:rPr>
          <w:rFonts w:ascii="Arial" w:hAnsi="Arial" w:cs="Arial"/>
        </w:rPr>
        <w:t xml:space="preserve">histórico </w:t>
      </w:r>
      <w:r w:rsidR="00DE3123">
        <w:rPr>
          <w:rFonts w:ascii="Arial" w:hAnsi="Arial" w:cs="Arial"/>
        </w:rPr>
        <w:t>de R$</w:t>
      </w:r>
      <w:r w:rsidR="00442637">
        <w:rPr>
          <w:rFonts w:ascii="Arial" w:hAnsi="Arial" w:cs="Arial"/>
        </w:rPr>
        <w:t xml:space="preserve"> 1.848.391,93 como contraprestação, sem que essas atividades fossem sequer orçadas para apuração do preço praticado no mercado e sem que elas fossem submetidas à concorrência, para alcance da melhor proposta.</w:t>
      </w:r>
    </w:p>
    <w:p w:rsidR="00052497" w:rsidRDefault="00052497"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Embora a execução desse objeto seja de interesse da sociedade local, fica evidente a caracterização de serviço prestado por várias empresas com características mercantis, o que, em nossa ótica, inviabiliza a celebração de Termo de Parceria, em face da incompatibilidade com a natureza jurídica da OSCIP e da necessidade de submeter o objeto à competição entre todos os interessados, pela via da licitação, adjudicando-o àquele que oferecer as melhores condições à Administração.</w:t>
      </w:r>
    </w:p>
    <w:p w:rsidR="00C032D0" w:rsidRDefault="00936B84"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Trata-se, pois, de clara situação em que</w:t>
      </w:r>
      <w:r w:rsidR="00C032D0">
        <w:rPr>
          <w:rFonts w:ascii="Arial" w:hAnsi="Arial" w:cs="Arial"/>
        </w:rPr>
        <w:t xml:space="preserve"> o particular se valeu</w:t>
      </w:r>
      <w:r w:rsidR="00DB36C0">
        <w:rPr>
          <w:rFonts w:ascii="Arial" w:hAnsi="Arial" w:cs="Arial"/>
        </w:rPr>
        <w:t xml:space="preserve"> da política estatal de fomento para auferir</w:t>
      </w:r>
      <w:r w:rsidR="00C032D0">
        <w:rPr>
          <w:rFonts w:ascii="Arial" w:hAnsi="Arial" w:cs="Arial"/>
        </w:rPr>
        <w:t xml:space="preserve"> benefícios unicamente privados, ao arrepio dos ditames constitucionais mais básicos, </w:t>
      </w:r>
      <w:r w:rsidR="00DB36C0">
        <w:rPr>
          <w:rFonts w:ascii="Arial" w:hAnsi="Arial" w:cs="Arial"/>
        </w:rPr>
        <w:t xml:space="preserve">inclusive o da isonomia e da obrigatoriedade da licitação, o que, </w:t>
      </w:r>
      <w:r w:rsidR="00052497">
        <w:rPr>
          <w:rFonts w:ascii="Arial" w:hAnsi="Arial" w:cs="Arial"/>
        </w:rPr>
        <w:t>em nosso sentir</w:t>
      </w:r>
      <w:r w:rsidR="00DB36C0">
        <w:rPr>
          <w:rFonts w:ascii="Arial" w:hAnsi="Arial" w:cs="Arial"/>
        </w:rPr>
        <w:t xml:space="preserve">, </w:t>
      </w:r>
      <w:r w:rsidR="00437F01">
        <w:rPr>
          <w:rFonts w:ascii="Arial" w:hAnsi="Arial" w:cs="Arial"/>
        </w:rPr>
        <w:t>torna nulo de pleno direito</w:t>
      </w:r>
      <w:r w:rsidR="00F02348">
        <w:rPr>
          <w:rFonts w:ascii="Arial" w:hAnsi="Arial" w:cs="Arial"/>
        </w:rPr>
        <w:t>, por desvio de finalidade,</w:t>
      </w:r>
      <w:r w:rsidR="00437F01">
        <w:rPr>
          <w:rFonts w:ascii="Arial" w:hAnsi="Arial" w:cs="Arial"/>
        </w:rPr>
        <w:t xml:space="preserve"> o Termo de Parceria nº 089/2008, celebrado entre a Prefeitura Municipal de Guidoval e a OSCIP Brasil Ação Solidária (Brasol), </w:t>
      </w:r>
      <w:r w:rsidR="00BB450D">
        <w:rPr>
          <w:rFonts w:ascii="Arial" w:hAnsi="Arial" w:cs="Arial"/>
        </w:rPr>
        <w:t xml:space="preserve">culminando no reconhecimento da ilegalidade da transferência da execução do objeto do Convênio nº </w:t>
      </w:r>
      <w:r w:rsidR="0054102B">
        <w:rPr>
          <w:rFonts w:ascii="Arial" w:hAnsi="Arial" w:cs="Arial"/>
        </w:rPr>
        <w:t>1371010401509/2009 também por este motivo, além da inobservância do seu item 3.2.1.</w:t>
      </w:r>
    </w:p>
    <w:p w:rsidR="0054102B" w:rsidRDefault="0054102B"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Destarte, ante esses argumentos, entendemos que </w:t>
      </w:r>
      <w:r w:rsidRPr="00C908AD">
        <w:rPr>
          <w:rFonts w:ascii="Arial" w:hAnsi="Arial" w:cs="Arial"/>
          <w:u w:val="single"/>
        </w:rPr>
        <w:t xml:space="preserve">a delegação, em sentido lato, da </w:t>
      </w:r>
      <w:r w:rsidR="0042221C" w:rsidRPr="00C908AD">
        <w:rPr>
          <w:rFonts w:ascii="Arial" w:hAnsi="Arial" w:cs="Arial"/>
          <w:u w:val="single"/>
        </w:rPr>
        <w:t>responsabilidade técnica</w:t>
      </w:r>
      <w:r w:rsidR="00521F3F" w:rsidRPr="00C908AD">
        <w:rPr>
          <w:rFonts w:ascii="Arial" w:hAnsi="Arial" w:cs="Arial"/>
          <w:u w:val="single"/>
        </w:rPr>
        <w:t xml:space="preserve"> pela execução</w:t>
      </w:r>
      <w:r w:rsidRPr="00C908AD">
        <w:rPr>
          <w:rFonts w:ascii="Arial" w:hAnsi="Arial" w:cs="Arial"/>
          <w:u w:val="single"/>
        </w:rPr>
        <w:t xml:space="preserve"> do objeto do Convênio</w:t>
      </w:r>
      <w:r w:rsidR="002050E3" w:rsidRPr="00C908AD">
        <w:rPr>
          <w:rFonts w:ascii="Arial" w:hAnsi="Arial" w:cs="Arial"/>
          <w:u w:val="single"/>
        </w:rPr>
        <w:t xml:space="preserve"> pela Prefeitura Municipal de Guidoval à OSCIP Brasol</w:t>
      </w:r>
      <w:r w:rsidRPr="00C908AD">
        <w:rPr>
          <w:rFonts w:ascii="Arial" w:hAnsi="Arial" w:cs="Arial"/>
          <w:u w:val="single"/>
        </w:rPr>
        <w:t>, viola a cláusula pactuada no item 3.2.1, a lei e a Constituição da República e sujeita à multa o Prefeito Municipal à época, Sr. Élio Lopes dos Santos</w:t>
      </w:r>
      <w:r>
        <w:rPr>
          <w:rFonts w:ascii="Arial" w:hAnsi="Arial" w:cs="Arial"/>
        </w:rPr>
        <w:t>.</w:t>
      </w:r>
    </w:p>
    <w:p w:rsidR="0054102B" w:rsidRDefault="0054102B"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sidRPr="003C5D49">
        <w:rPr>
          <w:rFonts w:ascii="Arial" w:hAnsi="Arial" w:cs="Arial"/>
        </w:rPr>
        <w:t xml:space="preserve">Dessa irregularidade decorre outra, igualmente relevante, </w:t>
      </w:r>
      <w:r w:rsidR="00C54EA5" w:rsidRPr="003C5D49">
        <w:rPr>
          <w:rFonts w:ascii="Arial" w:hAnsi="Arial" w:cs="Arial"/>
        </w:rPr>
        <w:t>consistente na transferência d</w:t>
      </w:r>
      <w:r w:rsidR="002050E3" w:rsidRPr="003C5D49">
        <w:rPr>
          <w:rFonts w:ascii="Arial" w:hAnsi="Arial" w:cs="Arial"/>
        </w:rPr>
        <w:t xml:space="preserve">e todos </w:t>
      </w:r>
      <w:r w:rsidR="00C54EA5" w:rsidRPr="003C5D49">
        <w:rPr>
          <w:rFonts w:ascii="Arial" w:hAnsi="Arial" w:cs="Arial"/>
        </w:rPr>
        <w:t>os recursos do Convênio à</w:t>
      </w:r>
      <w:r w:rsidR="002050E3" w:rsidRPr="003C5D49">
        <w:rPr>
          <w:rFonts w:ascii="Arial" w:hAnsi="Arial" w:cs="Arial"/>
        </w:rPr>
        <w:t xml:space="preserve"> conta bancária de titularidade da</w:t>
      </w:r>
      <w:r w:rsidR="00C54EA5" w:rsidRPr="003C5D49">
        <w:rPr>
          <w:rFonts w:ascii="Arial" w:hAnsi="Arial" w:cs="Arial"/>
        </w:rPr>
        <w:t xml:space="preserve"> Brasol</w:t>
      </w:r>
      <w:r w:rsidR="002050E3" w:rsidRPr="003C5D49">
        <w:rPr>
          <w:rFonts w:ascii="Arial" w:hAnsi="Arial" w:cs="Arial"/>
        </w:rPr>
        <w:t>,</w:t>
      </w:r>
      <w:r w:rsidR="003C5D49" w:rsidRPr="003C5D49">
        <w:rPr>
          <w:rFonts w:ascii="Arial" w:hAnsi="Arial" w:cs="Arial"/>
        </w:rPr>
        <w:t xml:space="preserve"> antes do início da execução do seu objeto,</w:t>
      </w:r>
      <w:r w:rsidR="002050E3" w:rsidRPr="003C5D49">
        <w:rPr>
          <w:rFonts w:ascii="Arial" w:hAnsi="Arial" w:cs="Arial"/>
        </w:rPr>
        <w:t xml:space="preserve"> descumprindo a Cláusula Sexta do instrumento e os arts. 12, XX</w:t>
      </w:r>
      <w:r w:rsidR="00CD7184" w:rsidRPr="003C5D49">
        <w:rPr>
          <w:rFonts w:ascii="Arial" w:hAnsi="Arial" w:cs="Arial"/>
        </w:rPr>
        <w:t>,</w:t>
      </w:r>
      <w:r w:rsidR="00BD0669" w:rsidRPr="003C5D49">
        <w:rPr>
          <w:rFonts w:ascii="Arial" w:hAnsi="Arial" w:cs="Arial"/>
        </w:rPr>
        <w:t xml:space="preserve"> e 24 a 26 do Decr</w:t>
      </w:r>
      <w:r w:rsidR="00CD7184" w:rsidRPr="003C5D49">
        <w:rPr>
          <w:rFonts w:ascii="Arial" w:hAnsi="Arial" w:cs="Arial"/>
        </w:rPr>
        <w:t>eto estadual nº 43.635, de 2003, à vista das razões já invocadas pela Unidade Técnica.</w:t>
      </w:r>
    </w:p>
    <w:p w:rsidR="003C5D49" w:rsidRPr="003C5D49" w:rsidRDefault="003C5D49"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lastRenderedPageBreak/>
        <w:t>Descabe, inclusive, a alegação de que se estava a remunerar serviços como a confecção de projetos e planos</w:t>
      </w:r>
      <w:r w:rsidR="00E27F36">
        <w:rPr>
          <w:rFonts w:ascii="Arial" w:hAnsi="Arial" w:cs="Arial"/>
        </w:rPr>
        <w:t xml:space="preserve"> de trabalho, necessários à celebração do convênio</w:t>
      </w:r>
      <w:r w:rsidR="00760422">
        <w:rPr>
          <w:rFonts w:ascii="Arial" w:hAnsi="Arial" w:cs="Arial"/>
        </w:rPr>
        <w:t>, uma vez que essas atividades não estão contempladas no objeto ajustado e, portanto, não poderiam ser pagas com tais recursos.</w:t>
      </w:r>
    </w:p>
    <w:p w:rsidR="00CD7184" w:rsidRPr="00993004" w:rsidRDefault="00760422"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Deste modo, considerando que a</w:t>
      </w:r>
      <w:r w:rsidR="00052497" w:rsidRPr="00993004">
        <w:rPr>
          <w:rFonts w:ascii="Arial" w:hAnsi="Arial" w:cs="Arial"/>
        </w:rPr>
        <w:t xml:space="preserve"> obrigação de</w:t>
      </w:r>
      <w:r w:rsidR="00993004" w:rsidRPr="00993004">
        <w:rPr>
          <w:rFonts w:ascii="Arial" w:hAnsi="Arial" w:cs="Arial"/>
        </w:rPr>
        <w:t xml:space="preserve"> se movimentar os recursos recebidos na conta bancária específica busca conferir transparência à sua aplicação, bem como estabelecer o nexo de causalidade entre os valores gastos e a execução dos serviços, </w:t>
      </w:r>
      <w:r w:rsidRPr="00760422">
        <w:rPr>
          <w:rFonts w:ascii="Arial" w:hAnsi="Arial" w:cs="Arial"/>
          <w:u w:val="single"/>
        </w:rPr>
        <w:t>sua</w:t>
      </w:r>
      <w:r w:rsidR="00993004" w:rsidRPr="00760422">
        <w:rPr>
          <w:rFonts w:ascii="Arial" w:hAnsi="Arial" w:cs="Arial"/>
          <w:u w:val="single"/>
        </w:rPr>
        <w:t xml:space="preserve"> </w:t>
      </w:r>
      <w:r w:rsidR="00993004" w:rsidRPr="00993004">
        <w:rPr>
          <w:rFonts w:ascii="Arial" w:hAnsi="Arial" w:cs="Arial"/>
          <w:u w:val="single"/>
        </w:rPr>
        <w:t>inobservância</w:t>
      </w:r>
      <w:r w:rsidR="00A847EA" w:rsidRPr="00993004">
        <w:rPr>
          <w:rFonts w:ascii="Arial" w:hAnsi="Arial" w:cs="Arial"/>
          <w:u w:val="single"/>
        </w:rPr>
        <w:t xml:space="preserve"> constitui causa de aplicação de multa, nos termos do art. 85, II, da Lei Complementar nº 102, de 2008, ao ordenador de despesas e Prefeito Municipal Élio Lopes dos Santos</w:t>
      </w:r>
      <w:r w:rsidR="00A847EA" w:rsidRPr="00993004">
        <w:rPr>
          <w:rFonts w:ascii="Arial" w:hAnsi="Arial" w:cs="Arial"/>
        </w:rPr>
        <w:t>.</w:t>
      </w:r>
    </w:p>
    <w:p w:rsidR="00205CB6" w:rsidRPr="00FE4E68" w:rsidRDefault="00205CB6" w:rsidP="00FE4E68">
      <w:pPr>
        <w:tabs>
          <w:tab w:val="left" w:pos="1418"/>
        </w:tabs>
        <w:autoSpaceDE w:val="0"/>
        <w:autoSpaceDN w:val="0"/>
        <w:adjustRightInd w:val="0"/>
        <w:spacing w:after="200" w:line="360" w:lineRule="auto"/>
        <w:jc w:val="both"/>
        <w:rPr>
          <w:rFonts w:ascii="Arial" w:hAnsi="Arial" w:cs="Arial"/>
          <w:b/>
        </w:rPr>
      </w:pPr>
      <w:r>
        <w:rPr>
          <w:rFonts w:ascii="Arial" w:hAnsi="Arial" w:cs="Arial"/>
          <w:b/>
        </w:rPr>
        <w:t xml:space="preserve">Da </w:t>
      </w:r>
      <w:r w:rsidR="00680A11">
        <w:rPr>
          <w:rFonts w:ascii="Arial" w:hAnsi="Arial" w:cs="Arial"/>
          <w:b/>
        </w:rPr>
        <w:t>execução do objeto e da prestação de contas</w:t>
      </w:r>
      <w:r>
        <w:rPr>
          <w:rFonts w:ascii="Arial" w:hAnsi="Arial" w:cs="Arial"/>
          <w:b/>
        </w:rPr>
        <w:t xml:space="preserve"> </w:t>
      </w:r>
    </w:p>
    <w:p w:rsidR="00FE4E68" w:rsidRDefault="00135E46"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Outra irregularidade identificada no bojo da presente Tomada de Contas reside na ausência de prestação de contas parcial e final, pela Prefeitura Municipal de Guidoval, dos recursos recebidos da SEMAD</w:t>
      </w:r>
      <w:r w:rsidR="00A218E0">
        <w:rPr>
          <w:rFonts w:ascii="Arial" w:hAnsi="Arial" w:cs="Arial"/>
        </w:rPr>
        <w:t>, considerando a inexecução completa do objeto pactuado</w:t>
      </w:r>
      <w:r>
        <w:rPr>
          <w:rFonts w:ascii="Arial" w:hAnsi="Arial" w:cs="Arial"/>
        </w:rPr>
        <w:t>.</w:t>
      </w:r>
    </w:p>
    <w:p w:rsidR="00A218E0" w:rsidRDefault="00A218E0"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De fato, os relatórios da Comissão de Tomada de Contas Especial (fls. 296/309, vol. 2) e da Unidade Integrada de Auditoria (fls. 362/372, vol. 2) suscitaram a omissão do Executivo local quanto ao dever de prestar as contas e, </w:t>
      </w:r>
      <w:r w:rsidR="001D7CEE">
        <w:rPr>
          <w:rFonts w:ascii="Arial" w:hAnsi="Arial" w:cs="Arial"/>
        </w:rPr>
        <w:t>não tendo superado a falha na via administrativa, encaminharam os autos a esta Corte, com fundamento no art. 248 do Regimento Interno.</w:t>
      </w:r>
    </w:p>
    <w:p w:rsidR="001D7CEE" w:rsidRDefault="001D7CEE"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Consoante explanado alhures,</w:t>
      </w:r>
      <w:r w:rsidR="0034325A">
        <w:rPr>
          <w:rFonts w:ascii="Arial" w:hAnsi="Arial" w:cs="Arial"/>
        </w:rPr>
        <w:t xml:space="preserve"> tem sede constitucional</w:t>
      </w:r>
      <w:r>
        <w:rPr>
          <w:rFonts w:ascii="Arial" w:hAnsi="Arial" w:cs="Arial"/>
        </w:rPr>
        <w:t xml:space="preserve"> o dever de prestar contas </w:t>
      </w:r>
      <w:r w:rsidR="00671B21">
        <w:rPr>
          <w:rFonts w:ascii="Arial" w:hAnsi="Arial" w:cs="Arial"/>
        </w:rPr>
        <w:t>imputado à</w:t>
      </w:r>
      <w:r>
        <w:rPr>
          <w:rFonts w:ascii="Arial" w:hAnsi="Arial" w:cs="Arial"/>
        </w:rPr>
        <w:t>quele</w:t>
      </w:r>
      <w:r w:rsidR="00671B21">
        <w:rPr>
          <w:rFonts w:ascii="Arial" w:hAnsi="Arial" w:cs="Arial"/>
        </w:rPr>
        <w:t>s</w:t>
      </w:r>
      <w:r>
        <w:rPr>
          <w:rFonts w:ascii="Arial" w:hAnsi="Arial" w:cs="Arial"/>
        </w:rPr>
        <w:t xml:space="preserve"> que, a qualquer título, guarda</w:t>
      </w:r>
      <w:r w:rsidR="00671B21">
        <w:rPr>
          <w:rFonts w:ascii="Arial" w:hAnsi="Arial" w:cs="Arial"/>
        </w:rPr>
        <w:t>m</w:t>
      </w:r>
      <w:r>
        <w:rPr>
          <w:rFonts w:ascii="Arial" w:hAnsi="Arial" w:cs="Arial"/>
        </w:rPr>
        <w:t xml:space="preserve"> ou gerencia</w:t>
      </w:r>
      <w:r w:rsidR="00671B21">
        <w:rPr>
          <w:rFonts w:ascii="Arial" w:hAnsi="Arial" w:cs="Arial"/>
        </w:rPr>
        <w:t>m recursos públicos, cujo descumprimento dá lugar à presunção de não aplicação dos valores e, consequentemente, de dano ao erário.</w:t>
      </w:r>
    </w:p>
    <w:p w:rsidR="00CF553E" w:rsidRDefault="00CF553E"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sidRPr="00CF553E">
        <w:rPr>
          <w:rFonts w:ascii="Arial" w:hAnsi="Arial" w:cs="Arial"/>
        </w:rPr>
        <w:t xml:space="preserve">Desse modo, </w:t>
      </w:r>
      <w:r w:rsidRPr="00AE233B">
        <w:rPr>
          <w:rFonts w:ascii="Arial" w:hAnsi="Arial" w:cs="Arial"/>
          <w:u w:val="single"/>
        </w:rPr>
        <w:t xml:space="preserve">a omissão da Prefeitura Municipal de Guidoval, representada no instrumento de convênio pelo então </w:t>
      </w:r>
      <w:r w:rsidR="002C6042" w:rsidRPr="00AE233B">
        <w:rPr>
          <w:rFonts w:ascii="Arial" w:hAnsi="Arial" w:cs="Arial"/>
          <w:u w:val="single"/>
        </w:rPr>
        <w:t>Prefeito</w:t>
      </w:r>
      <w:r w:rsidR="00AE233B" w:rsidRPr="00AE233B">
        <w:rPr>
          <w:rFonts w:ascii="Arial" w:hAnsi="Arial" w:cs="Arial"/>
          <w:u w:val="single"/>
        </w:rPr>
        <w:t xml:space="preserve"> Élio Lopes dos Santos</w:t>
      </w:r>
      <w:r w:rsidRPr="00AE233B">
        <w:rPr>
          <w:rFonts w:ascii="Arial" w:hAnsi="Arial" w:cs="Arial"/>
          <w:u w:val="single"/>
        </w:rPr>
        <w:t>, constitui ilegalidade de especial gravidade, que implica a irregularidade das contas</w:t>
      </w:r>
      <w:r>
        <w:rPr>
          <w:rFonts w:ascii="Arial" w:hAnsi="Arial" w:cs="Arial"/>
        </w:rPr>
        <w:t xml:space="preserve">, </w:t>
      </w:r>
      <w:r>
        <w:rPr>
          <w:rFonts w:ascii="Arial" w:hAnsi="Arial" w:cs="Arial"/>
        </w:rPr>
        <w:lastRenderedPageBreak/>
        <w:t xml:space="preserve">nos termos do que dispõe o art. 48, III, </w:t>
      </w:r>
      <w:r w:rsidRPr="00CF553E">
        <w:rPr>
          <w:rFonts w:ascii="Arial" w:hAnsi="Arial" w:cs="Arial"/>
          <w:i/>
        </w:rPr>
        <w:t>a</w:t>
      </w:r>
      <w:r>
        <w:rPr>
          <w:rFonts w:ascii="Arial" w:hAnsi="Arial" w:cs="Arial"/>
        </w:rPr>
        <w:t xml:space="preserve">, da Lei Complementar nº 102, de 2008, </w:t>
      </w:r>
      <w:r w:rsidRPr="00C52907">
        <w:rPr>
          <w:rFonts w:ascii="Arial" w:hAnsi="Arial" w:cs="Arial"/>
          <w:u w:val="single"/>
        </w:rPr>
        <w:t>sujeitando o responsável à multa definida no art. 85, I</w:t>
      </w:r>
      <w:r>
        <w:rPr>
          <w:rFonts w:ascii="Arial" w:hAnsi="Arial" w:cs="Arial"/>
        </w:rPr>
        <w:t>, do mesmo diploma.</w:t>
      </w:r>
    </w:p>
    <w:p w:rsidR="00CF553E" w:rsidRDefault="00CF553E"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Insta registrar que </w:t>
      </w:r>
      <w:r w:rsidR="00AE233B">
        <w:rPr>
          <w:rFonts w:ascii="Arial" w:hAnsi="Arial" w:cs="Arial"/>
        </w:rPr>
        <w:t>razão não assiste ao ex-Prefeito, ao atribuir sua falta à OSCIP Brasol, que também não lhe prestou contas dos recursos repassados, tendo em vista que assumiu responsabilidade pela aplicação direta dos recursos perante ao ente repassador, no caso a SEMAD, e, logicamente, também pela prestação de contas correlata.</w:t>
      </w:r>
    </w:p>
    <w:p w:rsidR="00AE233B" w:rsidRDefault="006D6AF9"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Se não lhe era permitido delegar a responsabilidade pela execução do objeto do Convênio, muito menos o será atribuir a responsabilidade pela prestação de contas a terceiro com o qual órgão estadual não estabeleceu vínculo de qualquer natureza.</w:t>
      </w:r>
    </w:p>
    <w:p w:rsidR="00822E2E" w:rsidRDefault="00822E2E"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Outrossim,</w:t>
      </w:r>
      <w:r w:rsidR="00C57D1D">
        <w:rPr>
          <w:rFonts w:ascii="Arial" w:hAnsi="Arial" w:cs="Arial"/>
        </w:rPr>
        <w:t xml:space="preserve"> além de não terem sido prestadas as contas, os elementos probatórios demonstram, à toda evidência, que</w:t>
      </w:r>
      <w:r w:rsidR="00DE42EB">
        <w:rPr>
          <w:rFonts w:ascii="Arial" w:hAnsi="Arial" w:cs="Arial"/>
        </w:rPr>
        <w:t xml:space="preserve"> não foi integralmente executado</w:t>
      </w:r>
      <w:r w:rsidR="00C57D1D">
        <w:rPr>
          <w:rFonts w:ascii="Arial" w:hAnsi="Arial" w:cs="Arial"/>
        </w:rPr>
        <w:t xml:space="preserve"> o objeto conveniado</w:t>
      </w:r>
      <w:r w:rsidR="00DE42EB">
        <w:rPr>
          <w:rFonts w:ascii="Arial" w:hAnsi="Arial" w:cs="Arial"/>
        </w:rPr>
        <w:t>, consistente no desenvolvimento do sistema de esgotamento sanitário do Município de Guidoval, compreendendo a construção de redes interceptoras, coletores, emissários, elevatórias e estação de tratamento de esgoto</w:t>
      </w:r>
      <w:r w:rsidR="00C57D1D">
        <w:rPr>
          <w:rFonts w:ascii="Arial" w:hAnsi="Arial" w:cs="Arial"/>
        </w:rPr>
        <w:t>.</w:t>
      </w:r>
    </w:p>
    <w:p w:rsidR="00160A08" w:rsidRDefault="00CF486B"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É exatamente o que consta do </w:t>
      </w:r>
      <w:r w:rsidR="00160A08">
        <w:rPr>
          <w:rFonts w:ascii="Arial" w:hAnsi="Arial" w:cs="Arial"/>
        </w:rPr>
        <w:t>Relatório Técnico GERUB nº 095/2012 (fl. 671, vol. 3), que estimou a execução física da obra em 24,35% do total constante do Convênio, representando o equivalente ao valor de R$ 434.968,93</w:t>
      </w:r>
    </w:p>
    <w:p w:rsidR="009016C2" w:rsidRDefault="00160A08"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Ademais, o </w:t>
      </w:r>
      <w:r w:rsidR="00CF486B">
        <w:rPr>
          <w:rFonts w:ascii="Arial" w:hAnsi="Arial" w:cs="Arial"/>
        </w:rPr>
        <w:t>Relatório Técnico GESAN nº 002/2010 (fls. 164/167</w:t>
      </w:r>
      <w:r w:rsidR="00DE42EB">
        <w:rPr>
          <w:rFonts w:ascii="Arial" w:hAnsi="Arial" w:cs="Arial"/>
        </w:rPr>
        <w:t>, vol. 1</w:t>
      </w:r>
      <w:r w:rsidR="00CF486B">
        <w:rPr>
          <w:rFonts w:ascii="Arial" w:hAnsi="Arial" w:cs="Arial"/>
        </w:rPr>
        <w:t xml:space="preserve">), instruído com elementos fotográficos, </w:t>
      </w:r>
      <w:r>
        <w:rPr>
          <w:rFonts w:ascii="Arial" w:hAnsi="Arial" w:cs="Arial"/>
        </w:rPr>
        <w:t>atestou</w:t>
      </w:r>
      <w:r w:rsidR="00CF486B">
        <w:rPr>
          <w:rFonts w:ascii="Arial" w:hAnsi="Arial" w:cs="Arial"/>
        </w:rPr>
        <w:t xml:space="preserve"> que “não foram edificadas as estações elevatórias e nem a ETE, no local indicado pelo secretário de obras”, aduzindo, ainda, que “esta rede possui diversos pontos vulneráveis, como tubulações sem proteção, utilizadas para amarração de barcos e animais, o que poderá danificá-la, comprometendo o que já foi executado”.</w:t>
      </w:r>
    </w:p>
    <w:p w:rsidR="00C52907" w:rsidRDefault="00687937"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Assim, </w:t>
      </w:r>
      <w:r w:rsidRPr="00160A08">
        <w:rPr>
          <w:rFonts w:ascii="Arial" w:hAnsi="Arial" w:cs="Arial"/>
          <w:u w:val="single"/>
        </w:rPr>
        <w:t>c</w:t>
      </w:r>
      <w:r w:rsidR="00C52907" w:rsidRPr="00160A08">
        <w:rPr>
          <w:rFonts w:ascii="Arial" w:hAnsi="Arial" w:cs="Arial"/>
          <w:u w:val="single"/>
        </w:rPr>
        <w:t xml:space="preserve">onfigurada a inexecução do objeto do Convênio, embora tenha havido a apropriação dos recursos repassados pela SEMAD, </w:t>
      </w:r>
      <w:r w:rsidRPr="00160A08">
        <w:rPr>
          <w:rFonts w:ascii="Arial" w:hAnsi="Arial" w:cs="Arial"/>
          <w:u w:val="single"/>
        </w:rPr>
        <w:t xml:space="preserve">não há o que se </w:t>
      </w:r>
      <w:r w:rsidRPr="00160A08">
        <w:rPr>
          <w:rFonts w:ascii="Arial" w:hAnsi="Arial" w:cs="Arial"/>
          <w:u w:val="single"/>
        </w:rPr>
        <w:lastRenderedPageBreak/>
        <w:t>discutir acerca da obrigação de restituir o erário do prejuízo causado pelos atos de gestão antieconômicos</w:t>
      </w:r>
      <w:r>
        <w:rPr>
          <w:rFonts w:ascii="Arial" w:hAnsi="Arial" w:cs="Arial"/>
        </w:rPr>
        <w:t>.</w:t>
      </w:r>
    </w:p>
    <w:p w:rsidR="006B241C" w:rsidRDefault="00327090"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sidRPr="006B241C">
        <w:rPr>
          <w:rFonts w:ascii="Arial" w:hAnsi="Arial" w:cs="Arial"/>
        </w:rPr>
        <w:t>Aqui, cumpre reiterar o estudo conclusivo da 3ª CFE</w:t>
      </w:r>
      <w:r w:rsidR="006B241C" w:rsidRPr="006B241C">
        <w:rPr>
          <w:rFonts w:ascii="Arial" w:hAnsi="Arial" w:cs="Arial"/>
        </w:rPr>
        <w:t>, segundo o qual “não há nexo de causalidade entre o numerário repassado pelo convênio e os gastos que se dizem realizados, ocasionando dano ao erário estadual”</w:t>
      </w:r>
      <w:r w:rsidR="006B241C">
        <w:rPr>
          <w:rFonts w:ascii="Arial" w:hAnsi="Arial" w:cs="Arial"/>
        </w:rPr>
        <w:t xml:space="preserve">. </w:t>
      </w:r>
    </w:p>
    <w:p w:rsidR="00327090" w:rsidRDefault="006B241C"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Sem se olvidar da prevalência da realidade sobre a forma, consubstanciada no direito processual pelo princípio da verdade real, é preciso reconhecer que as obrigações de gerenciamento dos recursos de convênio em conta específica e de pagamentos sempre nominais, por cheque ou depósito, têm em vista justamente estabelecer o vínculo entre os recursos e a execução do objeto, tornando essa relação transparente e controlável.</w:t>
      </w:r>
    </w:p>
    <w:p w:rsidR="006B241C" w:rsidRDefault="006B241C"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No momento em que a Prefeitura Municipal repassou todos os recursos depositados na conta específica do Convênio para a conta particular da Brasol, ela </w:t>
      </w:r>
      <w:r w:rsidR="004273BA">
        <w:rPr>
          <w:rFonts w:ascii="Arial" w:hAnsi="Arial" w:cs="Arial"/>
        </w:rPr>
        <w:t>impossibilitou</w:t>
      </w:r>
      <w:r>
        <w:rPr>
          <w:rFonts w:ascii="Arial" w:hAnsi="Arial" w:cs="Arial"/>
        </w:rPr>
        <w:t xml:space="preserve"> </w:t>
      </w:r>
      <w:r w:rsidR="004273BA">
        <w:rPr>
          <w:rFonts w:ascii="Arial" w:hAnsi="Arial" w:cs="Arial"/>
        </w:rPr>
        <w:t xml:space="preserve">a visualização do destino dos valores, pelo que não é mais possível assegurar que </w:t>
      </w:r>
      <w:r w:rsidR="00957A4B">
        <w:rPr>
          <w:rFonts w:ascii="Arial" w:hAnsi="Arial" w:cs="Arial"/>
        </w:rPr>
        <w:t>a pequena parte executada do objeto tenha sido paga com os valores encaminhados pela SEMAD.</w:t>
      </w:r>
    </w:p>
    <w:p w:rsidR="00957A4B" w:rsidRDefault="00DF6429"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Além disso, conforme relatado pela Fundação Estadual do Meio Ambiente às fls. 164/167 (vol. 1), a parte das obras que chegou a se realizar já estava vulnerável no ano de 2010, em virtude da pendência de finalização, com comprometimento do que havia sido executado.</w:t>
      </w:r>
    </w:p>
    <w:p w:rsidR="00DF6429" w:rsidRDefault="00DF6429"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Nessas circunstâncias, </w:t>
      </w:r>
      <w:r w:rsidR="00F478C9">
        <w:rPr>
          <w:rFonts w:ascii="Arial" w:hAnsi="Arial" w:cs="Arial"/>
        </w:rPr>
        <w:t>se a parcela executada não pode ser aproveitada em benefício social, os recursos eventualmente ali empregados também se perderam e compõem o montante caracterizado como dano a ser ressarcido.</w:t>
      </w:r>
    </w:p>
    <w:p w:rsidR="00EF37E5" w:rsidRPr="00F478C9" w:rsidRDefault="00F478C9" w:rsidP="00EF37E5">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sidRPr="00F478C9">
        <w:rPr>
          <w:rFonts w:ascii="Arial" w:hAnsi="Arial" w:cs="Arial"/>
        </w:rPr>
        <w:t>É esse o entendimento sedimentado do Tribunal de Contas da União, exemplificado pelo excerto do seguinte acórdão:</w:t>
      </w:r>
    </w:p>
    <w:p w:rsidR="00EF37E5" w:rsidRDefault="00EF37E5" w:rsidP="00EF37E5">
      <w:pPr>
        <w:tabs>
          <w:tab w:val="left" w:pos="1418"/>
        </w:tabs>
        <w:autoSpaceDE w:val="0"/>
        <w:autoSpaceDN w:val="0"/>
        <w:adjustRightInd w:val="0"/>
        <w:ind w:left="2268"/>
        <w:jc w:val="both"/>
        <w:rPr>
          <w:rFonts w:ascii="Arial" w:hAnsi="Arial" w:cs="Arial"/>
          <w:sz w:val="20"/>
          <w:szCs w:val="20"/>
        </w:rPr>
      </w:pPr>
      <w:r>
        <w:rPr>
          <w:rFonts w:ascii="Arial" w:hAnsi="Arial" w:cs="Arial"/>
          <w:sz w:val="20"/>
          <w:szCs w:val="20"/>
        </w:rPr>
        <w:t>“</w:t>
      </w:r>
      <w:r w:rsidRPr="00EF37E5">
        <w:rPr>
          <w:rFonts w:ascii="Arial" w:hAnsi="Arial" w:cs="Arial"/>
          <w:sz w:val="20"/>
          <w:szCs w:val="20"/>
        </w:rPr>
        <w:t>[Na hipótese de execução parcial do objeto, ocorrerá redução do débito somente quando a fração executada puder ser aproveitada para fins de atendimento aos objetivos do convênio.]</w:t>
      </w:r>
    </w:p>
    <w:p w:rsidR="00EF37E5" w:rsidRDefault="00EF37E5" w:rsidP="00EF37E5">
      <w:pPr>
        <w:tabs>
          <w:tab w:val="left" w:pos="1418"/>
        </w:tabs>
        <w:autoSpaceDE w:val="0"/>
        <w:autoSpaceDN w:val="0"/>
        <w:adjustRightInd w:val="0"/>
        <w:ind w:left="2268"/>
        <w:jc w:val="both"/>
        <w:rPr>
          <w:rFonts w:ascii="Arial" w:hAnsi="Arial" w:cs="Arial"/>
          <w:sz w:val="20"/>
          <w:szCs w:val="20"/>
        </w:rPr>
      </w:pPr>
      <w:r w:rsidRPr="00EF37E5">
        <w:rPr>
          <w:rFonts w:ascii="Arial" w:hAnsi="Arial" w:cs="Arial"/>
          <w:sz w:val="20"/>
          <w:szCs w:val="20"/>
        </w:rPr>
        <w:t>[SUMÁRIO]</w:t>
      </w:r>
    </w:p>
    <w:p w:rsidR="00EF37E5" w:rsidRDefault="00EF37E5" w:rsidP="00EF37E5">
      <w:pPr>
        <w:pStyle w:val="PargrafodaLista"/>
        <w:numPr>
          <w:ilvl w:val="0"/>
          <w:numId w:val="7"/>
        </w:numPr>
        <w:tabs>
          <w:tab w:val="left" w:pos="1418"/>
        </w:tabs>
        <w:autoSpaceDE w:val="0"/>
        <w:autoSpaceDN w:val="0"/>
        <w:adjustRightInd w:val="0"/>
        <w:ind w:left="2268" w:firstLine="0"/>
        <w:jc w:val="both"/>
        <w:rPr>
          <w:rFonts w:ascii="Arial" w:hAnsi="Arial" w:cs="Arial"/>
          <w:sz w:val="20"/>
          <w:szCs w:val="20"/>
        </w:rPr>
      </w:pPr>
      <w:r w:rsidRPr="00EF37E5">
        <w:rPr>
          <w:rFonts w:ascii="Arial" w:hAnsi="Arial" w:cs="Arial"/>
          <w:sz w:val="20"/>
          <w:szCs w:val="20"/>
        </w:rPr>
        <w:lastRenderedPageBreak/>
        <w:t xml:space="preserve">A comprovação de gastos na consecução de objeto de convênio ou instrumento congênere não é condição única para que se repute regular a gestão da verba pública. Não menos importante, </w:t>
      </w:r>
      <w:r w:rsidRPr="00EF37E5">
        <w:rPr>
          <w:rFonts w:ascii="Arial" w:hAnsi="Arial" w:cs="Arial"/>
          <w:sz w:val="20"/>
          <w:szCs w:val="20"/>
          <w:u w:val="single"/>
        </w:rPr>
        <w:t>há que se demonstrar a funcionalidade do objeto e o alcance da sua finalidade social</w:t>
      </w:r>
      <w:r w:rsidRPr="00EF37E5">
        <w:rPr>
          <w:rFonts w:ascii="Arial" w:hAnsi="Arial" w:cs="Arial"/>
          <w:sz w:val="20"/>
          <w:szCs w:val="20"/>
        </w:rPr>
        <w:t>.</w:t>
      </w:r>
    </w:p>
    <w:p w:rsidR="00EF37E5" w:rsidRDefault="00EF37E5" w:rsidP="00EF37E5">
      <w:pPr>
        <w:pStyle w:val="PargrafodaLista"/>
        <w:numPr>
          <w:ilvl w:val="0"/>
          <w:numId w:val="7"/>
        </w:numPr>
        <w:tabs>
          <w:tab w:val="left" w:pos="1418"/>
        </w:tabs>
        <w:autoSpaceDE w:val="0"/>
        <w:autoSpaceDN w:val="0"/>
        <w:adjustRightInd w:val="0"/>
        <w:ind w:left="2268" w:firstLine="0"/>
        <w:jc w:val="both"/>
        <w:rPr>
          <w:rFonts w:ascii="Arial" w:hAnsi="Arial" w:cs="Arial"/>
          <w:sz w:val="20"/>
          <w:szCs w:val="20"/>
        </w:rPr>
      </w:pPr>
      <w:r w:rsidRPr="00EF37E5">
        <w:rPr>
          <w:rFonts w:ascii="Arial" w:hAnsi="Arial" w:cs="Arial"/>
          <w:sz w:val="20"/>
          <w:szCs w:val="20"/>
          <w:u w:val="single"/>
        </w:rPr>
        <w:t>Na hipótese de execução parcial do objeto, ocorrerá redução do débito somente quando a fração executada puder ser aproveitada para fins de atendimento aos objetivos do convênio</w:t>
      </w:r>
      <w:r w:rsidRPr="00EF37E5">
        <w:rPr>
          <w:rFonts w:ascii="Arial" w:hAnsi="Arial" w:cs="Arial"/>
          <w:sz w:val="20"/>
          <w:szCs w:val="20"/>
        </w:rPr>
        <w:t>.</w:t>
      </w:r>
    </w:p>
    <w:p w:rsidR="00EF37E5" w:rsidRDefault="00EF37E5" w:rsidP="00EF37E5">
      <w:pPr>
        <w:tabs>
          <w:tab w:val="left" w:pos="1418"/>
        </w:tabs>
        <w:autoSpaceDE w:val="0"/>
        <w:autoSpaceDN w:val="0"/>
        <w:adjustRightInd w:val="0"/>
        <w:ind w:left="2268"/>
        <w:jc w:val="both"/>
        <w:rPr>
          <w:rFonts w:ascii="Arial" w:hAnsi="Arial" w:cs="Arial"/>
          <w:sz w:val="20"/>
          <w:szCs w:val="20"/>
        </w:rPr>
      </w:pPr>
      <w:r w:rsidRPr="00EF37E5">
        <w:rPr>
          <w:rFonts w:ascii="Arial" w:hAnsi="Arial" w:cs="Arial"/>
          <w:sz w:val="20"/>
          <w:szCs w:val="20"/>
        </w:rPr>
        <w:t>[VOTO]</w:t>
      </w:r>
      <w:r w:rsidRPr="00EF37E5">
        <w:rPr>
          <w:rFonts w:ascii="Arial" w:hAnsi="Arial" w:cs="Arial"/>
          <w:sz w:val="20"/>
          <w:szCs w:val="20"/>
        </w:rPr>
        <w:br/>
        <w:t>6. Argumenta, [...], que não haveria se falar em percentual zero de execução, porquanto teria havido pagamentos pela construção de reservatório elevado.</w:t>
      </w:r>
    </w:p>
    <w:p w:rsidR="00EF37E5" w:rsidRDefault="00EF37E5" w:rsidP="00EF37E5">
      <w:pPr>
        <w:tabs>
          <w:tab w:val="left" w:pos="1418"/>
        </w:tabs>
        <w:autoSpaceDE w:val="0"/>
        <w:autoSpaceDN w:val="0"/>
        <w:adjustRightInd w:val="0"/>
        <w:ind w:left="2268"/>
        <w:jc w:val="both"/>
        <w:rPr>
          <w:rFonts w:ascii="Arial" w:hAnsi="Arial" w:cs="Arial"/>
          <w:sz w:val="20"/>
          <w:szCs w:val="20"/>
        </w:rPr>
      </w:pPr>
      <w:r w:rsidRPr="00EF37E5">
        <w:rPr>
          <w:rFonts w:ascii="Arial" w:hAnsi="Arial" w:cs="Arial"/>
          <w:sz w:val="20"/>
          <w:szCs w:val="20"/>
        </w:rPr>
        <w:t xml:space="preserve">7. Os argumentos acima, vistos sob o contexto fático em questão, são incapazes de provocar a reforma do acórdão adversado. O dano ao erário encontra-se, a meu ver, devidamente configurado nos autos, </w:t>
      </w:r>
      <w:r w:rsidRPr="00EF37E5">
        <w:rPr>
          <w:rFonts w:ascii="Arial" w:hAnsi="Arial" w:cs="Arial"/>
          <w:sz w:val="20"/>
          <w:szCs w:val="20"/>
          <w:u w:val="single"/>
        </w:rPr>
        <w:t>uma vez que as obras não foram concluídas e a parte executada não pôde ser utilizada em benefício da população local</w:t>
      </w:r>
      <w:r w:rsidRPr="00EF37E5">
        <w:rPr>
          <w:rFonts w:ascii="Arial" w:hAnsi="Arial" w:cs="Arial"/>
          <w:sz w:val="20"/>
          <w:szCs w:val="20"/>
        </w:rPr>
        <w:t>.</w:t>
      </w:r>
    </w:p>
    <w:p w:rsidR="00EF37E5" w:rsidRDefault="00EF37E5" w:rsidP="00EF37E5">
      <w:pPr>
        <w:tabs>
          <w:tab w:val="left" w:pos="1418"/>
        </w:tabs>
        <w:autoSpaceDE w:val="0"/>
        <w:autoSpaceDN w:val="0"/>
        <w:adjustRightInd w:val="0"/>
        <w:ind w:left="2268"/>
        <w:jc w:val="both"/>
        <w:rPr>
          <w:rFonts w:ascii="Arial" w:hAnsi="Arial" w:cs="Arial"/>
          <w:sz w:val="20"/>
          <w:szCs w:val="20"/>
        </w:rPr>
      </w:pPr>
      <w:r w:rsidRPr="00EF37E5">
        <w:rPr>
          <w:rFonts w:ascii="Arial" w:hAnsi="Arial" w:cs="Arial"/>
          <w:sz w:val="20"/>
          <w:szCs w:val="20"/>
        </w:rPr>
        <w:t>8. De acordo com a jurisprudência desta Casa, a comprovação de gastos na consecução do objeto não é condição única para que se repute regular a gestão da verba pública. Não menos importante, há que se demonstrar a funcionalidade do objeto e o alcance da sua finalidade social. Na hipótese de execução parcial do objeto, ocorrerá redução do débito somente quando a fração executada puder ser aproveitada para fins de atendimento aos objetivos do convênio. Nesse sentido, cito os seguintes precedentes:</w:t>
      </w:r>
    </w:p>
    <w:p w:rsidR="00EF37E5" w:rsidRDefault="00EF37E5" w:rsidP="00EF37E5">
      <w:pPr>
        <w:tabs>
          <w:tab w:val="left" w:pos="1418"/>
        </w:tabs>
        <w:autoSpaceDE w:val="0"/>
        <w:autoSpaceDN w:val="0"/>
        <w:adjustRightInd w:val="0"/>
        <w:ind w:left="2268"/>
        <w:jc w:val="both"/>
        <w:rPr>
          <w:rFonts w:ascii="Arial" w:hAnsi="Arial" w:cs="Arial"/>
          <w:sz w:val="20"/>
          <w:szCs w:val="20"/>
        </w:rPr>
      </w:pPr>
      <w:r w:rsidRPr="00EF37E5">
        <w:rPr>
          <w:rFonts w:ascii="Arial" w:hAnsi="Arial" w:cs="Arial"/>
          <w:sz w:val="20"/>
          <w:szCs w:val="20"/>
        </w:rPr>
        <w:t>VOTO condutor do Acórdão nº 3.479/2009</w:t>
      </w:r>
      <w:r>
        <w:rPr>
          <w:rFonts w:ascii="Arial" w:hAnsi="Arial" w:cs="Arial"/>
          <w:sz w:val="20"/>
          <w:szCs w:val="20"/>
        </w:rPr>
        <w:t xml:space="preserve"> </w:t>
      </w:r>
      <w:r w:rsidRPr="00EF37E5">
        <w:rPr>
          <w:rFonts w:ascii="Arial" w:hAnsi="Arial" w:cs="Arial"/>
          <w:sz w:val="20"/>
          <w:szCs w:val="20"/>
        </w:rPr>
        <w:t>-</w:t>
      </w:r>
      <w:r>
        <w:rPr>
          <w:rFonts w:ascii="Arial" w:hAnsi="Arial" w:cs="Arial"/>
          <w:sz w:val="20"/>
          <w:szCs w:val="20"/>
        </w:rPr>
        <w:t xml:space="preserve"> </w:t>
      </w:r>
      <w:r w:rsidRPr="00EF37E5">
        <w:rPr>
          <w:rFonts w:ascii="Arial" w:hAnsi="Arial" w:cs="Arial"/>
          <w:sz w:val="20"/>
          <w:szCs w:val="20"/>
        </w:rPr>
        <w:t>1ª Câmara</w:t>
      </w:r>
      <w:r>
        <w:rPr>
          <w:rFonts w:ascii="Arial" w:hAnsi="Arial" w:cs="Arial"/>
          <w:sz w:val="20"/>
          <w:szCs w:val="20"/>
        </w:rPr>
        <w:t>: ‘</w:t>
      </w:r>
      <w:r w:rsidRPr="00EF37E5">
        <w:rPr>
          <w:rFonts w:ascii="Arial" w:hAnsi="Arial" w:cs="Arial"/>
          <w:sz w:val="20"/>
          <w:szCs w:val="20"/>
        </w:rPr>
        <w:t>Com efeito, a inexecução parcial das obras de reconstrução do complexo comercial do Município de Cametá/PA não resulta em qualquer proveito ou utilidade para a comunidade local, o que configura claro desperdício de recursos federais transferidos pelo convênio, a ensejar a responsabilidade do gestor municipal pela integralidade dos valores a ele confiados. Esse fato foi inequivocamente comprovado por meio de duas vistorias realizadas pelo órgão concedente, após longo transcurso do prazo de execução e de prestação de contas do convênio</w:t>
      </w:r>
      <w:r>
        <w:rPr>
          <w:rFonts w:ascii="Arial" w:hAnsi="Arial" w:cs="Arial"/>
          <w:sz w:val="20"/>
          <w:szCs w:val="20"/>
        </w:rPr>
        <w:t>’</w:t>
      </w:r>
      <w:r w:rsidRPr="00EF37E5">
        <w:rPr>
          <w:rFonts w:ascii="Arial" w:hAnsi="Arial" w:cs="Arial"/>
          <w:sz w:val="20"/>
          <w:szCs w:val="20"/>
        </w:rPr>
        <w:t xml:space="preserve"> (Rel. Min. Walton Alencar Rodrigues);</w:t>
      </w:r>
    </w:p>
    <w:p w:rsidR="00EF37E5" w:rsidRPr="00EF37E5" w:rsidRDefault="00EF37E5" w:rsidP="00EF37E5">
      <w:pPr>
        <w:tabs>
          <w:tab w:val="left" w:pos="1418"/>
        </w:tabs>
        <w:autoSpaceDE w:val="0"/>
        <w:autoSpaceDN w:val="0"/>
        <w:adjustRightInd w:val="0"/>
        <w:spacing w:after="200"/>
        <w:ind w:left="2268"/>
        <w:jc w:val="both"/>
        <w:rPr>
          <w:rFonts w:ascii="Arial" w:hAnsi="Arial" w:cs="Arial"/>
          <w:sz w:val="20"/>
          <w:szCs w:val="20"/>
        </w:rPr>
      </w:pPr>
      <w:r w:rsidRPr="00EF37E5">
        <w:rPr>
          <w:rFonts w:ascii="Arial" w:hAnsi="Arial" w:cs="Arial"/>
          <w:sz w:val="20"/>
          <w:szCs w:val="20"/>
        </w:rPr>
        <w:t>[ACÓRDÃO]</w:t>
      </w:r>
      <w:r w:rsidRPr="00EF37E5">
        <w:rPr>
          <w:rFonts w:ascii="Arial" w:hAnsi="Arial" w:cs="Arial"/>
          <w:sz w:val="20"/>
          <w:szCs w:val="20"/>
        </w:rPr>
        <w:br/>
        <w:t>9.1. [...] conhecer do presente recurso de reconsideração, para, no mérito, negar-lhe provimento, de modo a manter inalterado o teor do acórdão recorrido;</w:t>
      </w:r>
      <w:r>
        <w:rPr>
          <w:rFonts w:ascii="Arial" w:hAnsi="Arial" w:cs="Arial"/>
          <w:sz w:val="20"/>
          <w:szCs w:val="20"/>
        </w:rPr>
        <w:t>”</w:t>
      </w:r>
      <w:r>
        <w:rPr>
          <w:rStyle w:val="Refdenotaderodap"/>
          <w:rFonts w:ascii="Arial" w:hAnsi="Arial" w:cs="Arial"/>
          <w:sz w:val="20"/>
          <w:szCs w:val="20"/>
        </w:rPr>
        <w:footnoteReference w:id="6"/>
      </w:r>
    </w:p>
    <w:p w:rsidR="006B241C" w:rsidRDefault="002E0ABB"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Desta forma, se não é possível estabelecer o nexo causal entre os recursos repassados e a parcela executada da obra e se a execução parcial não refletiu benefício aproveitável pela coletividade, imperioso </w:t>
      </w:r>
      <w:r w:rsidRPr="0067143F">
        <w:rPr>
          <w:rFonts w:ascii="Arial" w:hAnsi="Arial" w:cs="Arial"/>
          <w:u w:val="single"/>
        </w:rPr>
        <w:t>reconhecer que o dano ao erário corresponde à totalidade dos recursos recebidos pela Prefeitura Municipal em virtude do Convênio</w:t>
      </w:r>
      <w:r w:rsidR="005D3D09" w:rsidRPr="0067143F">
        <w:rPr>
          <w:rFonts w:ascii="Arial" w:hAnsi="Arial" w:cs="Arial"/>
          <w:u w:val="single"/>
        </w:rPr>
        <w:t xml:space="preserve">, no valor histórico de R$ </w:t>
      </w:r>
      <w:r w:rsidR="0067143F" w:rsidRPr="0067143F">
        <w:rPr>
          <w:rFonts w:ascii="Arial" w:hAnsi="Arial" w:cs="Arial"/>
          <w:u w:val="single"/>
        </w:rPr>
        <w:t>1.848.391,93</w:t>
      </w:r>
      <w:r w:rsidR="0067143F">
        <w:rPr>
          <w:rFonts w:ascii="Arial" w:hAnsi="Arial" w:cs="Arial"/>
        </w:rPr>
        <w:t>.</w:t>
      </w:r>
    </w:p>
    <w:p w:rsidR="0067143F" w:rsidRDefault="0067143F"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No que concerne à responsabilidade pelo ressarcimento do prejuízo, </w:t>
      </w:r>
      <w:r w:rsidR="00543853">
        <w:rPr>
          <w:rFonts w:ascii="Arial" w:hAnsi="Arial" w:cs="Arial"/>
        </w:rPr>
        <w:t>importante delimitar a conduta de cada agente, a fim de individualizar a medida de sua obrigação.</w:t>
      </w:r>
    </w:p>
    <w:p w:rsidR="00543853" w:rsidRDefault="00543853"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lastRenderedPageBreak/>
        <w:t xml:space="preserve">A responsabilidade do ex-Prefeito, Sr. Élio Lopes dos Santos, é </w:t>
      </w:r>
      <w:r w:rsidR="00B44EA2">
        <w:rPr>
          <w:rFonts w:ascii="Arial" w:hAnsi="Arial" w:cs="Arial"/>
        </w:rPr>
        <w:t xml:space="preserve">clara, haja vista que era </w:t>
      </w:r>
      <w:r>
        <w:rPr>
          <w:rFonts w:ascii="Arial" w:hAnsi="Arial" w:cs="Arial"/>
        </w:rPr>
        <w:t>ele o signatário do Convênio, pelo qual assumiu a responsabilidade técnica total para a execução do objeto conveniado e recebeu a integralidade dos recursos.</w:t>
      </w:r>
    </w:p>
    <w:p w:rsidR="00543853" w:rsidRDefault="003D7625"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Por sua vez,</w:t>
      </w:r>
      <w:r w:rsidR="00543853">
        <w:rPr>
          <w:rFonts w:ascii="Arial" w:hAnsi="Arial" w:cs="Arial"/>
        </w:rPr>
        <w:t xml:space="preserve"> a OSCIP Brasol</w:t>
      </w:r>
      <w:r>
        <w:rPr>
          <w:rFonts w:ascii="Arial" w:hAnsi="Arial" w:cs="Arial"/>
        </w:rPr>
        <w:t>, na condição de pessoa jurídica,</w:t>
      </w:r>
      <w:r w:rsidR="00543853">
        <w:rPr>
          <w:rFonts w:ascii="Arial" w:hAnsi="Arial" w:cs="Arial"/>
        </w:rPr>
        <w:t xml:space="preserve"> se tornou responsável solidária pelo débito a partir do momento em que recebeu, em sua conta bancária, a totalidade do</w:t>
      </w:r>
      <w:r w:rsidR="00E04B01">
        <w:rPr>
          <w:rFonts w:ascii="Arial" w:hAnsi="Arial" w:cs="Arial"/>
        </w:rPr>
        <w:t xml:space="preserve">s recursos repassados pela SEMAD, uma vez que, por expressa disposição constitucional, </w:t>
      </w:r>
      <w:r w:rsidR="002A2FB5">
        <w:rPr>
          <w:rFonts w:ascii="Arial" w:hAnsi="Arial" w:cs="Arial"/>
        </w:rPr>
        <w:t xml:space="preserve">o dever de prestar contas alcança qualquer pessoa, </w:t>
      </w:r>
      <w:r w:rsidR="00160A08">
        <w:rPr>
          <w:rFonts w:ascii="Arial" w:hAnsi="Arial" w:cs="Arial"/>
        </w:rPr>
        <w:t xml:space="preserve">natural ou jurídica, </w:t>
      </w:r>
      <w:r w:rsidR="002A2FB5">
        <w:rPr>
          <w:rFonts w:ascii="Arial" w:hAnsi="Arial" w:cs="Arial"/>
        </w:rPr>
        <w:t>pública ou privada, que guarda, gerencia ou administra</w:t>
      </w:r>
      <w:r w:rsidR="00E04B01">
        <w:rPr>
          <w:rFonts w:ascii="Arial" w:hAnsi="Arial" w:cs="Arial"/>
        </w:rPr>
        <w:t xml:space="preserve"> recursos públicos</w:t>
      </w:r>
      <w:r w:rsidR="002A2FB5">
        <w:rPr>
          <w:rFonts w:ascii="Arial" w:hAnsi="Arial" w:cs="Arial"/>
        </w:rPr>
        <w:t>.</w:t>
      </w:r>
    </w:p>
    <w:p w:rsidR="00A33D81" w:rsidRDefault="002A2FB5" w:rsidP="00A33D81">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Por fim, </w:t>
      </w:r>
      <w:r w:rsidR="003D7625">
        <w:rPr>
          <w:rFonts w:ascii="Arial" w:hAnsi="Arial" w:cs="Arial"/>
        </w:rPr>
        <w:t>os dirigentes da OSCIP Brasol também assumiram responsabilidade</w:t>
      </w:r>
      <w:r w:rsidR="00A33D81">
        <w:rPr>
          <w:rFonts w:ascii="Arial" w:hAnsi="Arial" w:cs="Arial"/>
        </w:rPr>
        <w:t xml:space="preserve"> solidária e</w:t>
      </w:r>
      <w:r w:rsidR="003D7625">
        <w:rPr>
          <w:rFonts w:ascii="Arial" w:hAnsi="Arial" w:cs="Arial"/>
        </w:rPr>
        <w:t xml:space="preserve"> pessoal pelo prejuízo, na medida em que gerenciaram </w:t>
      </w:r>
      <w:r w:rsidR="00A33D81">
        <w:rPr>
          <w:rFonts w:ascii="Arial" w:hAnsi="Arial" w:cs="Arial"/>
        </w:rPr>
        <w:t xml:space="preserve">– de modo antieconômico – os valores recebidos pela pessoa jurídica. </w:t>
      </w:r>
    </w:p>
    <w:p w:rsidR="00A33D81" w:rsidRPr="00A33D81" w:rsidRDefault="00A33D81" w:rsidP="00A33D81">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Aliás, reforçamos aqui o destaque feito pela Unidade Técnica, no sentido de que, </w:t>
      </w:r>
      <w:r w:rsidRPr="00E258F0">
        <w:rPr>
          <w:rFonts w:ascii="Arial" w:hAnsi="Arial" w:cs="Arial"/>
          <w:u w:val="single"/>
        </w:rPr>
        <w:t xml:space="preserve">se o Prefeito Municipal e a OSCIP Brasol, enquanto pessoa jurídica, são responsáveis pela totalidade do dano (R$ 1.848.391,93), os dirigentes da OSCIP o são apenas nos montantes por eles manejados durante suas gestões, no caso R$ 1.084.690,74 em relação ao Sr. Itamar Moreira Índio do Brasil Júnior </w:t>
      </w:r>
      <w:r w:rsidR="007856F0" w:rsidRPr="00E258F0">
        <w:rPr>
          <w:rFonts w:ascii="Arial" w:hAnsi="Arial" w:cs="Arial"/>
          <w:u w:val="single"/>
        </w:rPr>
        <w:t xml:space="preserve">(que, ao final de sua presidência, deixou o restando dos recursos na conta da associação) </w:t>
      </w:r>
      <w:r w:rsidRPr="00E258F0">
        <w:rPr>
          <w:rFonts w:ascii="Arial" w:hAnsi="Arial" w:cs="Arial"/>
          <w:u w:val="single"/>
        </w:rPr>
        <w:t>e R$ 832.097,40 em relação ao Sr. Roger Alexandre Ribeiro</w:t>
      </w:r>
      <w:r w:rsidR="007856F0">
        <w:rPr>
          <w:rFonts w:ascii="Arial" w:hAnsi="Arial" w:cs="Arial"/>
        </w:rPr>
        <w:t xml:space="preserve"> (recursos restantes, no dia da sua posse como presidente da entidade)</w:t>
      </w:r>
      <w:r>
        <w:rPr>
          <w:rFonts w:ascii="Arial" w:hAnsi="Arial" w:cs="Arial"/>
        </w:rPr>
        <w:t>.</w:t>
      </w:r>
    </w:p>
    <w:p w:rsidR="00327090" w:rsidRDefault="007856F0"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Com essas considerações, entendemos d</w:t>
      </w:r>
      <w:r w:rsidR="0067143F">
        <w:rPr>
          <w:rFonts w:ascii="Arial" w:hAnsi="Arial" w:cs="Arial"/>
        </w:rPr>
        <w:t>escaracterizada</w:t>
      </w:r>
      <w:r>
        <w:rPr>
          <w:rFonts w:ascii="Arial" w:hAnsi="Arial" w:cs="Arial"/>
        </w:rPr>
        <w:t>s</w:t>
      </w:r>
      <w:r w:rsidR="0067143F">
        <w:rPr>
          <w:rFonts w:ascii="Arial" w:hAnsi="Arial" w:cs="Arial"/>
        </w:rPr>
        <w:t xml:space="preserve"> </w:t>
      </w:r>
      <w:r>
        <w:rPr>
          <w:rFonts w:ascii="Arial" w:hAnsi="Arial" w:cs="Arial"/>
        </w:rPr>
        <w:t>as alegações defensivas do Sr. It</w:t>
      </w:r>
      <w:r w:rsidR="00BC5053">
        <w:rPr>
          <w:rFonts w:ascii="Arial" w:hAnsi="Arial" w:cs="Arial"/>
        </w:rPr>
        <w:t xml:space="preserve">amar quanto a sua ilegitimidade passiva e quanto à </w:t>
      </w:r>
      <w:r>
        <w:rPr>
          <w:rFonts w:ascii="Arial" w:hAnsi="Arial" w:cs="Arial"/>
        </w:rPr>
        <w:t xml:space="preserve">glosa dos valores pagos à </w:t>
      </w:r>
      <w:r w:rsidR="00BC5053">
        <w:rPr>
          <w:rFonts w:ascii="Arial" w:hAnsi="Arial" w:cs="Arial"/>
        </w:rPr>
        <w:t xml:space="preserve">Rio Branco Pré-moldados Ltda. </w:t>
      </w:r>
    </w:p>
    <w:p w:rsidR="00327090" w:rsidRDefault="00E7748C"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Melhor sorte não lhe assiste nas assertivas relacionadas à ausência de descumprimento do plano de trabalho, uma vez que a inexecução do objeto salta aos olhos e foi largamente atestada nos autos. Frise-se, inclusive, que os serviços de elaboração de projeto e congêneres não compunham o objeto do Convênio e, por </w:t>
      </w:r>
      <w:r>
        <w:rPr>
          <w:rFonts w:ascii="Arial" w:hAnsi="Arial" w:cs="Arial"/>
        </w:rPr>
        <w:lastRenderedPageBreak/>
        <w:t>isso, a utilização de seus recursos nessas atividades configura, do mesmo modo, desvio sujeito à restituição.</w:t>
      </w:r>
    </w:p>
    <w:p w:rsidR="00E7748C" w:rsidRDefault="00E7748C"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 xml:space="preserve">Ainda, descabida também a dedução </w:t>
      </w:r>
      <w:r w:rsidR="00953353">
        <w:rPr>
          <w:rFonts w:ascii="Arial" w:hAnsi="Arial" w:cs="Arial"/>
        </w:rPr>
        <w:t>das despesas bancárias, em face do que determina o art. 15, VII, do Decreto estadual nº 43.635, de 2003</w:t>
      </w:r>
      <w:r w:rsidR="00953353">
        <w:rPr>
          <w:rStyle w:val="Refdenotaderodap"/>
          <w:rFonts w:ascii="Arial" w:hAnsi="Arial" w:cs="Arial"/>
        </w:rPr>
        <w:footnoteReference w:id="7"/>
      </w:r>
      <w:r w:rsidR="00953353">
        <w:rPr>
          <w:rFonts w:ascii="Arial" w:hAnsi="Arial" w:cs="Arial"/>
        </w:rPr>
        <w:t>.</w:t>
      </w:r>
    </w:p>
    <w:p w:rsidR="00CD5546" w:rsidRPr="00CD5546" w:rsidRDefault="00CD5546" w:rsidP="00CD5546">
      <w:pPr>
        <w:tabs>
          <w:tab w:val="left" w:pos="1418"/>
        </w:tabs>
        <w:autoSpaceDE w:val="0"/>
        <w:autoSpaceDN w:val="0"/>
        <w:adjustRightInd w:val="0"/>
        <w:spacing w:after="200" w:line="360" w:lineRule="auto"/>
        <w:jc w:val="both"/>
        <w:rPr>
          <w:rFonts w:ascii="Arial" w:hAnsi="Arial" w:cs="Arial"/>
          <w:b/>
        </w:rPr>
      </w:pPr>
      <w:r>
        <w:rPr>
          <w:rFonts w:ascii="Arial" w:hAnsi="Arial" w:cs="Arial"/>
          <w:b/>
        </w:rPr>
        <w:t>Do aporte da contrapartida</w:t>
      </w:r>
    </w:p>
    <w:p w:rsidR="00CD5546" w:rsidRDefault="00C65EF3"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O apontamento remanescente da Unidade Técnica, sobre o qual os responsáveis não se manifestaram quando oportuno, consiste na ausência do aporte da contrapartida.</w:t>
      </w:r>
    </w:p>
    <w:p w:rsidR="00C65EF3" w:rsidRDefault="00C65EF3"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De fato, não há notícia nos autos de que a Prefeitura Municipal tenha realizado o depósito da contrapartida que cabia ao Município de Guidoval, no valor de R$ 267.230,22, por força da Cláusula Quinta do Convênio</w:t>
      </w:r>
      <w:r>
        <w:rPr>
          <w:rStyle w:val="Refdenotaderodap"/>
          <w:rFonts w:ascii="Arial" w:hAnsi="Arial" w:cs="Arial"/>
        </w:rPr>
        <w:footnoteReference w:id="8"/>
      </w:r>
      <w:r w:rsidR="00A65C7F">
        <w:rPr>
          <w:rFonts w:ascii="Arial" w:hAnsi="Arial" w:cs="Arial"/>
        </w:rPr>
        <w:t xml:space="preserve">, </w:t>
      </w:r>
      <w:r w:rsidR="00A65C7F" w:rsidRPr="009A7D2D">
        <w:rPr>
          <w:rFonts w:ascii="Arial" w:hAnsi="Arial" w:cs="Arial"/>
          <w:u w:val="single"/>
        </w:rPr>
        <w:t>descumprimento que es</w:t>
      </w:r>
      <w:r w:rsidR="00122889" w:rsidRPr="009A7D2D">
        <w:rPr>
          <w:rFonts w:ascii="Arial" w:hAnsi="Arial" w:cs="Arial"/>
          <w:u w:val="single"/>
        </w:rPr>
        <w:t>tá sujeito à aplicação de multa</w:t>
      </w:r>
      <w:r w:rsidR="00122889">
        <w:rPr>
          <w:rFonts w:ascii="Arial" w:hAnsi="Arial" w:cs="Arial"/>
        </w:rPr>
        <w:t xml:space="preserve">, nos termos do art. </w:t>
      </w:r>
      <w:r w:rsidR="009A7D2D">
        <w:rPr>
          <w:rFonts w:ascii="Arial" w:hAnsi="Arial" w:cs="Arial"/>
        </w:rPr>
        <w:t>85 da Lei Complementar nº 102, de 2008, sob a responsabilidade pessoal do então Prefeito Municipal, Sr. Élio Lopes dos Santos, signatário do Convênio e representante do Município.</w:t>
      </w:r>
    </w:p>
    <w:p w:rsidR="009A7D2D" w:rsidRPr="009A7D2D" w:rsidRDefault="009A7D2D" w:rsidP="009A7D2D">
      <w:pPr>
        <w:tabs>
          <w:tab w:val="left" w:pos="1418"/>
        </w:tabs>
        <w:autoSpaceDE w:val="0"/>
        <w:autoSpaceDN w:val="0"/>
        <w:adjustRightInd w:val="0"/>
        <w:spacing w:after="200" w:line="360" w:lineRule="auto"/>
        <w:jc w:val="both"/>
        <w:rPr>
          <w:rFonts w:ascii="Arial" w:hAnsi="Arial" w:cs="Arial"/>
          <w:b/>
        </w:rPr>
      </w:pPr>
      <w:r>
        <w:rPr>
          <w:rFonts w:ascii="Arial" w:hAnsi="Arial" w:cs="Arial"/>
          <w:b/>
        </w:rPr>
        <w:t xml:space="preserve">Do </w:t>
      </w:r>
      <w:r w:rsidR="00883979">
        <w:rPr>
          <w:rFonts w:ascii="Arial" w:hAnsi="Arial" w:cs="Arial"/>
          <w:b/>
        </w:rPr>
        <w:t>repasse de parcela sem a apresentação da prestação de contas da parcela anterior e do acompanhamento do desenvolvimento dos trabalhos</w:t>
      </w:r>
    </w:p>
    <w:p w:rsidR="00CD5546" w:rsidRDefault="00883979"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No estudo de fls. 1013/1039 (vol. 5), a 3ª CF</w:t>
      </w:r>
      <w:r w:rsidR="0090752A">
        <w:rPr>
          <w:rFonts w:ascii="Arial" w:hAnsi="Arial" w:cs="Arial"/>
        </w:rPr>
        <w:t xml:space="preserve">E apontou duas irregularidades, imputáveis aos agentes do Estado de Minas Gerais, no caso o Sr. </w:t>
      </w:r>
      <w:r w:rsidR="0090752A">
        <w:rPr>
          <w:rFonts w:ascii="Arial" w:hAnsi="Arial" w:cs="Arial"/>
        </w:rPr>
        <w:lastRenderedPageBreak/>
        <w:t>José Carlos Carvalho, Secretário de Estado de Meio Ambiente, e o Sr. Geraldo Magela Barcelos Martins, Diretor de Convênios da SEMAD.</w:t>
      </w:r>
    </w:p>
    <w:p w:rsidR="0090752A" w:rsidRDefault="0090752A"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Essas irregularidades consistiam no repasse de parcela do Convênio, mesmo não havendo prestação de contas parcial referente à parcela anterior, e na ausência de acompanhamento do desenvolvimento dos trabalhos, conforme estabelecido nas Cláusulas Terceira e Quarta.</w:t>
      </w:r>
    </w:p>
    <w:p w:rsidR="0090752A" w:rsidRDefault="0023062F"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Nesses pontos, manifestamos pleno acordo com os termos do reexame da Unidade Técnica, acostado às fls. 1598/1616 (vol. 8), no sentido de que os apontamentos restaram esclarecidos.</w:t>
      </w:r>
    </w:p>
    <w:p w:rsidR="00903C1B" w:rsidRPr="00903C1B" w:rsidRDefault="0023062F" w:rsidP="00903C1B">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No que toca aos repasses sem a prestação de contas parcial, considerando que o Convênio em análise contemplava apenas duas parcelas sob a responsabilidade da SEMAD, o art. 31, §2º, do Decreto estadual nº 44.631, de 2007, autorizava que a prestação de contas fosse feita apenas ao final</w:t>
      </w:r>
      <w:r w:rsidR="00903C1B">
        <w:rPr>
          <w:rFonts w:ascii="Arial" w:hAnsi="Arial" w:cs="Arial"/>
        </w:rPr>
        <w:t xml:space="preserve"> da vigência, senão vejamos:</w:t>
      </w:r>
    </w:p>
    <w:p w:rsidR="00903C1B" w:rsidRPr="00903C1B" w:rsidRDefault="00903C1B" w:rsidP="00903C1B">
      <w:pPr>
        <w:pStyle w:val="Pr-formataoHTML"/>
        <w:ind w:left="2268"/>
        <w:jc w:val="both"/>
        <w:rPr>
          <w:rFonts w:ascii="Arial" w:hAnsi="Arial" w:cs="Arial"/>
        </w:rPr>
      </w:pPr>
      <w:r w:rsidRPr="00903C1B">
        <w:rPr>
          <w:rFonts w:ascii="Arial" w:hAnsi="Arial" w:cs="Arial"/>
        </w:rPr>
        <w:t>Art. 31. Em caso de convênio com mais de uma liberação financeira, o convenente apresentará ao concedente, na periodicidade ajustada no instrumento, prestação de contas parcial composta da documentação especificada nos incisos I a XII do art. 26.</w:t>
      </w:r>
    </w:p>
    <w:p w:rsidR="00903C1B" w:rsidRPr="00903C1B" w:rsidRDefault="00903C1B" w:rsidP="00903C1B">
      <w:pPr>
        <w:pStyle w:val="Pr-formataoHTML"/>
        <w:ind w:left="2268"/>
        <w:jc w:val="both"/>
        <w:rPr>
          <w:rFonts w:ascii="Arial" w:hAnsi="Arial" w:cs="Arial"/>
        </w:rPr>
      </w:pPr>
      <w:r w:rsidRPr="00903C1B">
        <w:rPr>
          <w:rFonts w:ascii="Arial" w:hAnsi="Arial" w:cs="Arial"/>
        </w:rPr>
        <w:t>§1º Havendo mais de uma liberação, a comprovação de que osrecursos anteriormente repassados foram rigorosamente aplicados no objeto do convênio deverá ocorrer como condição para liberação das parcelas subseqüentes.</w:t>
      </w:r>
    </w:p>
    <w:p w:rsidR="00903C1B" w:rsidRPr="00903C1B" w:rsidRDefault="00903C1B" w:rsidP="00903C1B">
      <w:pPr>
        <w:pStyle w:val="Pr-formataoHTML"/>
        <w:spacing w:after="200"/>
        <w:ind w:left="2268"/>
        <w:jc w:val="both"/>
        <w:rPr>
          <w:rFonts w:ascii="Arial" w:hAnsi="Arial" w:cs="Arial"/>
        </w:rPr>
      </w:pPr>
      <w:r w:rsidRPr="00903C1B">
        <w:rPr>
          <w:rFonts w:ascii="Arial" w:hAnsi="Arial" w:cs="Arial"/>
        </w:rPr>
        <w:t xml:space="preserve">§2º </w:t>
      </w:r>
      <w:r w:rsidRPr="00903C1B">
        <w:rPr>
          <w:rFonts w:ascii="Arial" w:hAnsi="Arial" w:cs="Arial"/>
          <w:u w:val="single"/>
        </w:rPr>
        <w:t>Caso a liberação dos recursos seja efetuada em até duas parcelas, a apresentação da Prestação de Contas se fará no final da vigência do instrumento, globalizando as parcelas liberadas</w:t>
      </w:r>
      <w:r w:rsidRPr="00903C1B">
        <w:rPr>
          <w:rFonts w:ascii="Arial" w:hAnsi="Arial" w:cs="Arial"/>
        </w:rPr>
        <w:t>.</w:t>
      </w:r>
      <w:r>
        <w:rPr>
          <w:rFonts w:ascii="Arial" w:hAnsi="Arial" w:cs="Arial"/>
        </w:rPr>
        <w:t xml:space="preserve"> [grifos aditados]</w:t>
      </w:r>
    </w:p>
    <w:p w:rsidR="00CD5546" w:rsidRDefault="00903C1B"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A norma destacada, portanto, justifica a conduta dos gestores estaduais e descaracteriza a irregularidade.</w:t>
      </w:r>
    </w:p>
    <w:p w:rsidR="00903C1B" w:rsidRDefault="00903C1B"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t>O mesmo pode se dizer do questionamento relativo à ausência de acompanhamento dos trabalhos pela SEMAD, porquanto</w:t>
      </w:r>
      <w:r w:rsidR="00FC15AA">
        <w:rPr>
          <w:rFonts w:ascii="Arial" w:hAnsi="Arial" w:cs="Arial"/>
        </w:rPr>
        <w:t>, na instrução processual, ficou demonstrado que o órgão estadual realizou visitas às obras, elaborou relatórios de auditoria e de tomada de contas especial, durante e após o período de vigência do Convênio, motivo pelo qual também não remanesce ilegalidade.</w:t>
      </w:r>
    </w:p>
    <w:p w:rsidR="00CD5546" w:rsidRDefault="00FC15AA"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Pr>
          <w:rFonts w:ascii="Arial" w:hAnsi="Arial" w:cs="Arial"/>
        </w:rPr>
        <w:lastRenderedPageBreak/>
        <w:t>Com efeito, restam afastados os apontamentos relacionados ao</w:t>
      </w:r>
      <w:r w:rsidRPr="00FC15AA">
        <w:rPr>
          <w:rFonts w:ascii="Arial" w:hAnsi="Arial" w:cs="Arial"/>
        </w:rPr>
        <w:t xml:space="preserve"> </w:t>
      </w:r>
      <w:r>
        <w:rPr>
          <w:rFonts w:ascii="Arial" w:hAnsi="Arial" w:cs="Arial"/>
        </w:rPr>
        <w:t>Sr. José Carlos Carvalho, então Secretário de Estado de Meio Ambiente, e ao Sr. Geraldo Magela Barcelos Martins, Diretor de Convênios da SEMAD à época.</w:t>
      </w:r>
    </w:p>
    <w:p w:rsidR="006237F0" w:rsidRPr="0041426E" w:rsidRDefault="006237F0" w:rsidP="00FC15AA">
      <w:pPr>
        <w:tabs>
          <w:tab w:val="left" w:pos="1418"/>
        </w:tabs>
        <w:autoSpaceDE w:val="0"/>
        <w:autoSpaceDN w:val="0"/>
        <w:adjustRightInd w:val="0"/>
        <w:spacing w:after="200" w:line="360" w:lineRule="auto"/>
        <w:jc w:val="both"/>
        <w:rPr>
          <w:rFonts w:ascii="Arial" w:hAnsi="Arial" w:cs="Arial"/>
        </w:rPr>
      </w:pPr>
    </w:p>
    <w:p w:rsidR="006237F0" w:rsidRPr="0041426E" w:rsidRDefault="006237F0" w:rsidP="006237F0">
      <w:pPr>
        <w:tabs>
          <w:tab w:val="left" w:pos="1418"/>
        </w:tabs>
        <w:autoSpaceDE w:val="0"/>
        <w:autoSpaceDN w:val="0"/>
        <w:adjustRightInd w:val="0"/>
        <w:spacing w:line="360" w:lineRule="auto"/>
        <w:jc w:val="center"/>
        <w:rPr>
          <w:rFonts w:ascii="Arial" w:hAnsi="Arial" w:cs="Arial"/>
        </w:rPr>
      </w:pPr>
      <w:r w:rsidRPr="0041426E">
        <w:rPr>
          <w:rFonts w:ascii="Arial" w:hAnsi="Arial" w:cs="Arial"/>
          <w:b/>
          <w:u w:val="single"/>
        </w:rPr>
        <w:t>CONCLUSÃO</w:t>
      </w:r>
    </w:p>
    <w:p w:rsidR="006237F0" w:rsidRPr="0041426E" w:rsidRDefault="006237F0"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sidRPr="0041426E">
        <w:rPr>
          <w:rFonts w:ascii="Arial" w:hAnsi="Arial" w:cs="Arial"/>
        </w:rPr>
        <w:t>Pelo exposto, este Ministério Público de Contas opina pel</w:t>
      </w:r>
      <w:r w:rsidR="00051C24">
        <w:rPr>
          <w:rFonts w:ascii="Arial" w:hAnsi="Arial" w:cs="Arial"/>
        </w:rPr>
        <w:t>a</w:t>
      </w:r>
      <w:r w:rsidRPr="0041426E">
        <w:rPr>
          <w:rFonts w:ascii="Arial" w:hAnsi="Arial" w:cs="Arial"/>
        </w:rPr>
        <w:t xml:space="preserve"> </w:t>
      </w:r>
      <w:r w:rsidR="00051C24">
        <w:rPr>
          <w:rFonts w:ascii="Arial" w:hAnsi="Arial" w:cs="Arial"/>
        </w:rPr>
        <w:t xml:space="preserve">irregularidade </w:t>
      </w:r>
      <w:r w:rsidRPr="0041426E">
        <w:rPr>
          <w:rFonts w:ascii="Arial" w:hAnsi="Arial" w:cs="Arial"/>
        </w:rPr>
        <w:t xml:space="preserve">das contas, na forma do art. 48, III, </w:t>
      </w:r>
      <w:r w:rsidRPr="00051C24">
        <w:rPr>
          <w:rFonts w:ascii="Arial" w:hAnsi="Arial" w:cs="Arial"/>
          <w:i/>
        </w:rPr>
        <w:t>a</w:t>
      </w:r>
      <w:r w:rsidRPr="0041426E">
        <w:rPr>
          <w:rFonts w:ascii="Arial" w:hAnsi="Arial" w:cs="Arial"/>
        </w:rPr>
        <w:t xml:space="preserve">, </w:t>
      </w:r>
      <w:r w:rsidR="00051C24" w:rsidRPr="00051C24">
        <w:rPr>
          <w:rFonts w:ascii="Arial" w:hAnsi="Arial" w:cs="Arial"/>
          <w:i/>
        </w:rPr>
        <w:t>b</w:t>
      </w:r>
      <w:r w:rsidR="00051C24">
        <w:rPr>
          <w:rFonts w:ascii="Arial" w:hAnsi="Arial" w:cs="Arial"/>
        </w:rPr>
        <w:t xml:space="preserve">, </w:t>
      </w:r>
      <w:r w:rsidR="00051C24" w:rsidRPr="00051C24">
        <w:rPr>
          <w:rFonts w:ascii="Arial" w:hAnsi="Arial" w:cs="Arial"/>
          <w:i/>
        </w:rPr>
        <w:t>c</w:t>
      </w:r>
      <w:r w:rsidR="00051C24">
        <w:rPr>
          <w:rFonts w:ascii="Arial" w:hAnsi="Arial" w:cs="Arial"/>
        </w:rPr>
        <w:t>,</w:t>
      </w:r>
      <w:r w:rsidRPr="0041426E">
        <w:rPr>
          <w:rFonts w:ascii="Arial" w:hAnsi="Arial" w:cs="Arial"/>
        </w:rPr>
        <w:t xml:space="preserve"> </w:t>
      </w:r>
      <w:r w:rsidRPr="00051C24">
        <w:rPr>
          <w:rFonts w:ascii="Arial" w:hAnsi="Arial" w:cs="Arial"/>
          <w:i/>
        </w:rPr>
        <w:t>d</w:t>
      </w:r>
      <w:r w:rsidR="00051C24">
        <w:rPr>
          <w:rFonts w:ascii="Arial" w:hAnsi="Arial" w:cs="Arial"/>
        </w:rPr>
        <w:t xml:space="preserve"> e </w:t>
      </w:r>
      <w:r w:rsidR="00051C24" w:rsidRPr="00051C24">
        <w:rPr>
          <w:rFonts w:ascii="Arial" w:hAnsi="Arial" w:cs="Arial"/>
          <w:i/>
        </w:rPr>
        <w:t>e</w:t>
      </w:r>
      <w:r w:rsidR="00051C24">
        <w:rPr>
          <w:rFonts w:ascii="Arial" w:hAnsi="Arial" w:cs="Arial"/>
        </w:rPr>
        <w:t>,</w:t>
      </w:r>
      <w:r w:rsidRPr="0041426E">
        <w:rPr>
          <w:rFonts w:ascii="Arial" w:hAnsi="Arial" w:cs="Arial"/>
        </w:rPr>
        <w:t xml:space="preserve"> da Lei Orgânica deste Tribunal, Lei Complementar estadual nº 102, de 2008, bem como pelo ressarcimento ao erário dos valores impugnados, devidamente atualizados, </w:t>
      </w:r>
      <w:r w:rsidR="004757E1">
        <w:rPr>
          <w:rFonts w:ascii="Arial" w:hAnsi="Arial" w:cs="Arial"/>
        </w:rPr>
        <w:t>com a</w:t>
      </w:r>
      <w:r w:rsidRPr="0041426E">
        <w:rPr>
          <w:rFonts w:ascii="Arial" w:hAnsi="Arial" w:cs="Arial"/>
        </w:rPr>
        <w:t xml:space="preserve"> aplicação de multa ao</w:t>
      </w:r>
      <w:r w:rsidR="004757E1">
        <w:rPr>
          <w:rFonts w:ascii="Arial" w:hAnsi="Arial" w:cs="Arial"/>
        </w:rPr>
        <w:t>s</w:t>
      </w:r>
      <w:r w:rsidRPr="0041426E">
        <w:rPr>
          <w:rFonts w:ascii="Arial" w:hAnsi="Arial" w:cs="Arial"/>
        </w:rPr>
        <w:t xml:space="preserve"> responsáve</w:t>
      </w:r>
      <w:r w:rsidR="004757E1">
        <w:rPr>
          <w:rFonts w:ascii="Arial" w:hAnsi="Arial" w:cs="Arial"/>
        </w:rPr>
        <w:t>is</w:t>
      </w:r>
      <w:r w:rsidRPr="0041426E">
        <w:rPr>
          <w:rFonts w:ascii="Arial" w:hAnsi="Arial" w:cs="Arial"/>
        </w:rPr>
        <w:t xml:space="preserve">, </w:t>
      </w:r>
      <w:r w:rsidR="004757E1">
        <w:rPr>
          <w:rFonts w:ascii="Arial" w:hAnsi="Arial" w:cs="Arial"/>
        </w:rPr>
        <w:t xml:space="preserve">na forma discriminada nos quadros de fls. 1614/1615 (vol. 8), </w:t>
      </w:r>
      <w:r w:rsidRPr="0041426E">
        <w:rPr>
          <w:rFonts w:ascii="Arial" w:hAnsi="Arial" w:cs="Arial"/>
        </w:rPr>
        <w:t xml:space="preserve">tendo em vista as irregularidades apuradas. </w:t>
      </w:r>
    </w:p>
    <w:p w:rsidR="006237F0" w:rsidRPr="0041426E" w:rsidRDefault="006237F0" w:rsidP="006237F0">
      <w:pPr>
        <w:numPr>
          <w:ilvl w:val="0"/>
          <w:numId w:val="6"/>
        </w:numPr>
        <w:tabs>
          <w:tab w:val="left" w:pos="1418"/>
        </w:tabs>
        <w:autoSpaceDE w:val="0"/>
        <w:autoSpaceDN w:val="0"/>
        <w:adjustRightInd w:val="0"/>
        <w:spacing w:after="200" w:line="360" w:lineRule="auto"/>
        <w:ind w:left="0" w:firstLine="0"/>
        <w:jc w:val="both"/>
        <w:rPr>
          <w:rFonts w:ascii="Arial" w:hAnsi="Arial" w:cs="Arial"/>
        </w:rPr>
      </w:pPr>
      <w:r w:rsidRPr="0041426E">
        <w:rPr>
          <w:rFonts w:ascii="Arial" w:hAnsi="Arial" w:cs="Arial"/>
        </w:rPr>
        <w:t xml:space="preserve"> É o parecer.</w:t>
      </w:r>
    </w:p>
    <w:p w:rsidR="006237F0" w:rsidRPr="0041426E" w:rsidRDefault="006237F0" w:rsidP="006237F0">
      <w:pPr>
        <w:spacing w:line="360" w:lineRule="auto"/>
        <w:contextualSpacing/>
        <w:jc w:val="center"/>
        <w:rPr>
          <w:rFonts w:ascii="Arial" w:hAnsi="Arial" w:cs="Arial"/>
        </w:rPr>
      </w:pPr>
      <w:r w:rsidRPr="0041426E">
        <w:rPr>
          <w:rFonts w:ascii="Arial" w:hAnsi="Arial" w:cs="Arial"/>
        </w:rPr>
        <w:t xml:space="preserve">Belo Horizonte, </w:t>
      </w:r>
      <w:r w:rsidR="00B44EA2">
        <w:rPr>
          <w:rFonts w:ascii="Arial" w:hAnsi="Arial" w:cs="Arial"/>
        </w:rPr>
        <w:t xml:space="preserve">30 </w:t>
      </w:r>
      <w:r w:rsidRPr="0041426E">
        <w:rPr>
          <w:rFonts w:ascii="Arial" w:hAnsi="Arial" w:cs="Arial"/>
        </w:rPr>
        <w:t xml:space="preserve">de </w:t>
      </w:r>
      <w:r>
        <w:rPr>
          <w:rFonts w:ascii="Arial" w:hAnsi="Arial" w:cs="Arial"/>
        </w:rPr>
        <w:t xml:space="preserve">março </w:t>
      </w:r>
      <w:r w:rsidRPr="0041426E">
        <w:rPr>
          <w:rFonts w:ascii="Arial" w:hAnsi="Arial" w:cs="Arial"/>
        </w:rPr>
        <w:t>de 2016.</w:t>
      </w:r>
    </w:p>
    <w:p w:rsidR="006237F0" w:rsidRPr="0041426E" w:rsidRDefault="006237F0" w:rsidP="006237F0">
      <w:pPr>
        <w:tabs>
          <w:tab w:val="left" w:pos="1701"/>
        </w:tabs>
        <w:contextualSpacing/>
        <w:jc w:val="center"/>
        <w:rPr>
          <w:rFonts w:ascii="Arial" w:hAnsi="Arial" w:cs="Arial"/>
        </w:rPr>
      </w:pPr>
    </w:p>
    <w:p w:rsidR="006237F0" w:rsidRPr="0041426E" w:rsidRDefault="006237F0" w:rsidP="006237F0">
      <w:pPr>
        <w:tabs>
          <w:tab w:val="left" w:pos="1701"/>
        </w:tabs>
        <w:contextualSpacing/>
        <w:jc w:val="center"/>
        <w:rPr>
          <w:rFonts w:ascii="Arial" w:hAnsi="Arial" w:cs="Arial"/>
        </w:rPr>
      </w:pPr>
    </w:p>
    <w:p w:rsidR="006237F0" w:rsidRPr="0041426E" w:rsidRDefault="006237F0" w:rsidP="006237F0">
      <w:pPr>
        <w:contextualSpacing/>
        <w:jc w:val="center"/>
        <w:rPr>
          <w:rFonts w:ascii="Arial" w:hAnsi="Arial" w:cs="Arial"/>
          <w:b/>
        </w:rPr>
      </w:pPr>
      <w:r w:rsidRPr="0041426E">
        <w:rPr>
          <w:rFonts w:ascii="Arial" w:hAnsi="Arial" w:cs="Arial"/>
          <w:b/>
        </w:rPr>
        <w:t>Sara Meinberg</w:t>
      </w:r>
    </w:p>
    <w:p w:rsidR="006237F0" w:rsidRPr="0041426E" w:rsidRDefault="006237F0" w:rsidP="006237F0">
      <w:pPr>
        <w:contextualSpacing/>
        <w:jc w:val="center"/>
        <w:rPr>
          <w:rFonts w:ascii="Arial" w:hAnsi="Arial" w:cs="Arial"/>
          <w:sz w:val="18"/>
          <w:szCs w:val="18"/>
        </w:rPr>
      </w:pPr>
      <w:r w:rsidRPr="0041426E">
        <w:rPr>
          <w:rFonts w:ascii="Arial" w:hAnsi="Arial" w:cs="Arial"/>
          <w:sz w:val="18"/>
          <w:szCs w:val="18"/>
        </w:rPr>
        <w:t>Procuradora do Ministério Público de Contas</w:t>
      </w:r>
    </w:p>
    <w:p w:rsidR="006237F0" w:rsidRPr="0041426E" w:rsidRDefault="006237F0" w:rsidP="006237F0">
      <w:pPr>
        <w:contextualSpacing/>
        <w:jc w:val="center"/>
        <w:rPr>
          <w:rFonts w:ascii="Arial" w:hAnsi="Arial" w:cs="Arial"/>
        </w:rPr>
      </w:pPr>
    </w:p>
    <w:p w:rsidR="006237F0" w:rsidRPr="0041426E" w:rsidRDefault="006237F0" w:rsidP="006237F0"/>
    <w:p w:rsidR="00262A2C" w:rsidRPr="00F05751" w:rsidRDefault="00262A2C" w:rsidP="00F05751">
      <w:pPr>
        <w:rPr>
          <w:szCs w:val="22"/>
        </w:rPr>
      </w:pPr>
    </w:p>
    <w:sectPr w:rsidR="00262A2C" w:rsidRPr="00F05751" w:rsidSect="00EE7982">
      <w:headerReference w:type="default" r:id="rId8"/>
      <w:footerReference w:type="default" r:id="rId9"/>
      <w:pgSz w:w="11906" w:h="16838" w:code="9"/>
      <w:pgMar w:top="782" w:right="1701" w:bottom="1134" w:left="1134" w:header="680" w:footer="680" w:gutter="0"/>
      <w:pgNumType w:start="48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7D3" w:rsidRDefault="000107D3" w:rsidP="00995224">
      <w:r>
        <w:separator/>
      </w:r>
    </w:p>
  </w:endnote>
  <w:endnote w:type="continuationSeparator" w:id="0">
    <w:p w:rsidR="000107D3" w:rsidRDefault="000107D3" w:rsidP="009952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FFFF" w:usb2="FFC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CFE" w:rsidRPr="007A78ED" w:rsidRDefault="00935CFE" w:rsidP="004F6959">
    <w:pPr>
      <w:pStyle w:val="Rodap"/>
      <w:tabs>
        <w:tab w:val="clear" w:pos="4252"/>
        <w:tab w:val="clear" w:pos="8504"/>
        <w:tab w:val="center" w:pos="4535"/>
      </w:tabs>
      <w:rPr>
        <w:sz w:val="16"/>
        <w:szCs w:val="16"/>
      </w:rPr>
    </w:pPr>
    <w:r>
      <w:rPr>
        <w:sz w:val="16"/>
        <w:szCs w:val="16"/>
      </w:rPr>
      <w:t>880.559 mba</w:t>
    </w:r>
    <w:r>
      <w:rPr>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7D3" w:rsidRDefault="000107D3" w:rsidP="00995224">
      <w:r>
        <w:separator/>
      </w:r>
    </w:p>
  </w:footnote>
  <w:footnote w:type="continuationSeparator" w:id="0">
    <w:p w:rsidR="000107D3" w:rsidRDefault="000107D3" w:rsidP="00995224">
      <w:r>
        <w:continuationSeparator/>
      </w:r>
    </w:p>
  </w:footnote>
  <w:footnote w:id="1">
    <w:p w:rsidR="00935CFE" w:rsidRPr="00991053" w:rsidRDefault="00935CFE" w:rsidP="00B559E3">
      <w:pPr>
        <w:pStyle w:val="Textodenotaderodap"/>
        <w:jc w:val="both"/>
        <w:rPr>
          <w:rFonts w:ascii="Arial" w:hAnsi="Arial" w:cs="Arial"/>
        </w:rPr>
      </w:pPr>
      <w:r w:rsidRPr="00991053">
        <w:rPr>
          <w:rStyle w:val="Refdenotaderodap"/>
          <w:rFonts w:ascii="Arial" w:hAnsi="Arial" w:cs="Arial"/>
        </w:rPr>
        <w:footnoteRef/>
      </w:r>
      <w:r w:rsidRPr="00991053">
        <w:rPr>
          <w:rFonts w:ascii="Arial" w:hAnsi="Arial" w:cs="Arial"/>
        </w:rPr>
        <w:t xml:space="preserve"> AGUIAR, Ubiratan</w:t>
      </w:r>
      <w:r>
        <w:rPr>
          <w:rFonts w:ascii="Arial" w:hAnsi="Arial" w:cs="Arial"/>
        </w:rPr>
        <w:t>;</w:t>
      </w:r>
      <w:r w:rsidRPr="00991053">
        <w:rPr>
          <w:rFonts w:ascii="Arial" w:hAnsi="Arial" w:cs="Arial"/>
        </w:rPr>
        <w:t xml:space="preserve"> </w:t>
      </w:r>
      <w:r w:rsidRPr="00991053">
        <w:rPr>
          <w:rFonts w:ascii="Arial" w:hAnsi="Arial" w:cs="Arial"/>
          <w:i/>
        </w:rPr>
        <w:t>et alii</w:t>
      </w:r>
      <w:r>
        <w:rPr>
          <w:rFonts w:ascii="Arial" w:hAnsi="Arial" w:cs="Arial"/>
        </w:rPr>
        <w:t>.</w:t>
      </w:r>
      <w:r w:rsidRPr="00991053">
        <w:rPr>
          <w:rFonts w:ascii="Arial" w:hAnsi="Arial" w:cs="Arial"/>
        </w:rPr>
        <w:t xml:space="preserve"> Convênios e Tomadas de Contas Especiais. 3 ed. Belo Horizonte: Fórum, 2010, p. 68.</w:t>
      </w:r>
    </w:p>
  </w:footnote>
  <w:footnote w:id="2">
    <w:p w:rsidR="00935CFE" w:rsidRPr="00C23146" w:rsidRDefault="00935CFE" w:rsidP="00C23146">
      <w:pPr>
        <w:pStyle w:val="Textodenotaderodap"/>
        <w:jc w:val="both"/>
        <w:rPr>
          <w:rFonts w:ascii="Arial" w:hAnsi="Arial" w:cs="Arial"/>
        </w:rPr>
      </w:pPr>
      <w:r w:rsidRPr="00C23146">
        <w:rPr>
          <w:rFonts w:ascii="Arial" w:hAnsi="Arial" w:cs="Arial"/>
          <w:vertAlign w:val="superscript"/>
        </w:rPr>
        <w:footnoteRef/>
      </w:r>
      <w:r w:rsidRPr="00C23146">
        <w:rPr>
          <w:rFonts w:ascii="Arial" w:hAnsi="Arial" w:cs="Arial"/>
        </w:rPr>
        <w:t xml:space="preserve"> “Para comprovar a boa aplicação dos recursos é necessária a existência de uma série de nexos: os débitos do extrato bancário devem coincidir com a relação de pagamentos efetuado, que deve refletir as notas fiscais devidamente identificadas com o número do convênio, que espelham os cheques nominais emitidos, e ser coincidentes com a vigência do convênio e com as datas dos desembolsos ocorridos na conta específica”  in AGUIAR, Ubiratan </w:t>
      </w:r>
      <w:r w:rsidRPr="00C23146">
        <w:rPr>
          <w:rFonts w:ascii="Arial" w:hAnsi="Arial" w:cs="Arial"/>
          <w:i/>
        </w:rPr>
        <w:t>et alii</w:t>
      </w:r>
      <w:r w:rsidRPr="000261DE">
        <w:rPr>
          <w:rFonts w:ascii="Arial" w:hAnsi="Arial" w:cs="Arial"/>
        </w:rPr>
        <w:t>.</w:t>
      </w:r>
      <w:r w:rsidRPr="00C23146">
        <w:rPr>
          <w:rFonts w:ascii="Arial" w:hAnsi="Arial" w:cs="Arial"/>
        </w:rPr>
        <w:t xml:space="preserve"> Convênios e Tomadas de Contas Especiais. 3 ed. Belo Horizonte: Fórum, 2010, p. 68.</w:t>
      </w:r>
    </w:p>
  </w:footnote>
  <w:footnote w:id="3">
    <w:p w:rsidR="00935CFE" w:rsidRPr="00C23146" w:rsidRDefault="00935CFE" w:rsidP="00C23146">
      <w:pPr>
        <w:pStyle w:val="Textodenotaderodap"/>
        <w:jc w:val="both"/>
        <w:rPr>
          <w:rFonts w:ascii="Arial" w:hAnsi="Arial" w:cs="Arial"/>
        </w:rPr>
      </w:pPr>
      <w:r w:rsidRPr="00C23146">
        <w:rPr>
          <w:rFonts w:ascii="Arial" w:hAnsi="Arial" w:cs="Arial"/>
          <w:vertAlign w:val="superscript"/>
        </w:rPr>
        <w:footnoteRef/>
      </w:r>
      <w:r w:rsidRPr="00C23146">
        <w:rPr>
          <w:rFonts w:ascii="Arial" w:hAnsi="Arial" w:cs="Arial"/>
          <w:vertAlign w:val="superscript"/>
        </w:rPr>
        <w:t xml:space="preserve"> </w:t>
      </w:r>
      <w:r>
        <w:rPr>
          <w:rFonts w:ascii="Arial" w:hAnsi="Arial" w:cs="Arial"/>
        </w:rPr>
        <w:t xml:space="preserve">Tribunal de Contas da União. </w:t>
      </w:r>
      <w:hyperlink r:id="rId1" w:tgtFrame="_blank" w:history="1">
        <w:r w:rsidRPr="00C23146">
          <w:rPr>
            <w:rStyle w:val="Hyperlink"/>
            <w:rFonts w:ascii="Arial" w:hAnsi="Arial" w:cs="Arial"/>
            <w:color w:val="auto"/>
            <w:u w:val="none"/>
          </w:rPr>
          <w:t>AC-2864-41/13-P</w:t>
        </w:r>
      </w:hyperlink>
      <w:r>
        <w:rPr>
          <w:rFonts w:ascii="Arial" w:hAnsi="Arial" w:cs="Arial"/>
        </w:rPr>
        <w:t>.</w:t>
      </w:r>
      <w:r w:rsidRPr="00C23146">
        <w:rPr>
          <w:rFonts w:ascii="Arial" w:hAnsi="Arial" w:cs="Arial"/>
        </w:rPr>
        <w:t xml:space="preserve"> Relator: Ministro </w:t>
      </w:r>
      <w:r>
        <w:rPr>
          <w:rFonts w:ascii="Arial" w:hAnsi="Arial" w:cs="Arial"/>
        </w:rPr>
        <w:t xml:space="preserve">José Múcio Monteiro. </w:t>
      </w:r>
      <w:r w:rsidRPr="00C23146">
        <w:rPr>
          <w:rFonts w:ascii="Arial" w:hAnsi="Arial" w:cs="Arial"/>
        </w:rPr>
        <w:t>Sessão: 23/10/13</w:t>
      </w:r>
      <w:r>
        <w:rPr>
          <w:rFonts w:ascii="Arial" w:hAnsi="Arial" w:cs="Arial"/>
        </w:rPr>
        <w:t>.</w:t>
      </w:r>
    </w:p>
  </w:footnote>
  <w:footnote w:id="4">
    <w:p w:rsidR="00935CFE" w:rsidRPr="00517E3C" w:rsidRDefault="00935CFE" w:rsidP="00517E3C">
      <w:pPr>
        <w:pStyle w:val="NormalWeb"/>
        <w:spacing w:before="0" w:beforeAutospacing="0" w:after="0" w:afterAutospacing="0"/>
        <w:jc w:val="both"/>
        <w:rPr>
          <w:sz w:val="20"/>
          <w:szCs w:val="20"/>
        </w:rPr>
      </w:pPr>
      <w:r w:rsidRPr="00517E3C">
        <w:rPr>
          <w:rStyle w:val="Refdenotaderodap"/>
          <w:rFonts w:ascii="Arial" w:hAnsi="Arial" w:cs="Arial"/>
          <w:sz w:val="20"/>
          <w:szCs w:val="20"/>
        </w:rPr>
        <w:footnoteRef/>
      </w:r>
      <w:r w:rsidRPr="00517E3C">
        <w:rPr>
          <w:rFonts w:ascii="Arial" w:hAnsi="Arial" w:cs="Arial"/>
          <w:sz w:val="20"/>
          <w:szCs w:val="20"/>
        </w:rPr>
        <w:t xml:space="preserve"> Art. 4</w:t>
      </w:r>
      <w:r w:rsidRPr="00517E3C">
        <w:rPr>
          <w:rFonts w:ascii="Arial" w:hAnsi="Arial" w:cs="Arial"/>
          <w:sz w:val="20"/>
          <w:szCs w:val="20"/>
          <w:u w:val="single"/>
          <w:vertAlign w:val="superscript"/>
        </w:rPr>
        <w:t>o</w:t>
      </w:r>
      <w:r w:rsidRPr="00517E3C">
        <w:rPr>
          <w:rFonts w:ascii="Arial" w:hAnsi="Arial" w:cs="Arial"/>
          <w:sz w:val="20"/>
          <w:szCs w:val="20"/>
        </w:rPr>
        <w:t xml:space="preserve"> Atendido o disposto no art. 3</w:t>
      </w:r>
      <w:r w:rsidRPr="00517E3C">
        <w:rPr>
          <w:rFonts w:ascii="Arial" w:hAnsi="Arial" w:cs="Arial"/>
          <w:sz w:val="20"/>
          <w:szCs w:val="20"/>
          <w:u w:val="single"/>
          <w:vertAlign w:val="superscript"/>
        </w:rPr>
        <w:t>o</w:t>
      </w:r>
      <w:r w:rsidRPr="00517E3C">
        <w:rPr>
          <w:rFonts w:ascii="Arial" w:hAnsi="Arial" w:cs="Arial"/>
          <w:sz w:val="20"/>
          <w:szCs w:val="20"/>
        </w:rPr>
        <w:t>, exige-se ainda, para qualificarem-se como Organizações da Sociedade Civil de Interesse Público, que as pessoas jurídicas interessadas sejam regidas por estatutos cujas normas expressamente disponham sobre:</w:t>
      </w:r>
    </w:p>
    <w:p w:rsidR="00935CFE" w:rsidRPr="00517E3C" w:rsidRDefault="00935CFE" w:rsidP="00517E3C">
      <w:pPr>
        <w:pStyle w:val="NormalWeb"/>
        <w:spacing w:before="0" w:beforeAutospacing="0" w:after="0" w:afterAutospacing="0"/>
        <w:jc w:val="both"/>
      </w:pPr>
      <w:bookmarkStart w:id="3" w:name="art4i"/>
      <w:bookmarkEnd w:id="3"/>
      <w:r w:rsidRPr="00517E3C">
        <w:rPr>
          <w:rFonts w:ascii="Arial" w:hAnsi="Arial" w:cs="Arial"/>
          <w:sz w:val="20"/>
          <w:szCs w:val="20"/>
        </w:rPr>
        <w:t xml:space="preserve">I </w:t>
      </w:r>
      <w:r>
        <w:rPr>
          <w:rFonts w:ascii="Arial" w:hAnsi="Arial" w:cs="Arial"/>
          <w:sz w:val="20"/>
          <w:szCs w:val="20"/>
        </w:rPr>
        <w:t>–</w:t>
      </w:r>
      <w:r w:rsidRPr="00517E3C">
        <w:rPr>
          <w:rFonts w:ascii="Arial" w:hAnsi="Arial" w:cs="Arial"/>
          <w:sz w:val="20"/>
          <w:szCs w:val="20"/>
        </w:rPr>
        <w:t xml:space="preserve"> a observância dos princípios da legalidade, impessoalidade, moralidade, publicidade, economicidade e da eficiência;</w:t>
      </w:r>
    </w:p>
  </w:footnote>
  <w:footnote w:id="5">
    <w:p w:rsidR="00935CFE" w:rsidRPr="00085E76" w:rsidRDefault="00935CFE" w:rsidP="00085E76">
      <w:pPr>
        <w:pStyle w:val="Textodenotaderodap"/>
        <w:jc w:val="both"/>
        <w:rPr>
          <w:rFonts w:ascii="Arial" w:hAnsi="Arial" w:cs="Arial"/>
        </w:rPr>
      </w:pPr>
      <w:r w:rsidRPr="00085E76">
        <w:rPr>
          <w:rStyle w:val="Refdenotaderodap"/>
          <w:rFonts w:ascii="Arial" w:hAnsi="Arial" w:cs="Arial"/>
        </w:rPr>
        <w:footnoteRef/>
      </w:r>
      <w:r w:rsidRPr="00085E76">
        <w:rPr>
          <w:rFonts w:ascii="Arial" w:hAnsi="Arial" w:cs="Arial"/>
        </w:rPr>
        <w:t xml:space="preserve"> </w:t>
      </w:r>
      <w:r>
        <w:rPr>
          <w:rFonts w:ascii="Arial" w:hAnsi="Arial" w:cs="Arial"/>
        </w:rPr>
        <w:t xml:space="preserve">PRATES, Carlos Inácio. OSCIP e o fornecimento de mão-de-obra terceirizada: questão polêmica. Disponível em: </w:t>
      </w:r>
      <w:r w:rsidRPr="00C46280">
        <w:rPr>
          <w:rStyle w:val="CitaoHTML"/>
          <w:rFonts w:ascii="Arial" w:hAnsi="Arial" w:cs="Arial"/>
          <w:i w:val="0"/>
        </w:rPr>
        <w:t>www.agu.gov.br/page/download/index/id/523957</w:t>
      </w:r>
      <w:r>
        <w:rPr>
          <w:rStyle w:val="CitaoHTML"/>
          <w:rFonts w:ascii="Arial" w:hAnsi="Arial" w:cs="Arial"/>
          <w:i w:val="0"/>
        </w:rPr>
        <w:t>.</w:t>
      </w:r>
    </w:p>
  </w:footnote>
  <w:footnote w:id="6">
    <w:p w:rsidR="00935CFE" w:rsidRPr="00EF37E5" w:rsidRDefault="00935CFE" w:rsidP="00EF37E5">
      <w:pPr>
        <w:pStyle w:val="Textodenotaderodap"/>
        <w:jc w:val="both"/>
        <w:rPr>
          <w:rFonts w:ascii="Arial" w:hAnsi="Arial" w:cs="Arial"/>
        </w:rPr>
      </w:pPr>
      <w:r w:rsidRPr="00EF37E5">
        <w:rPr>
          <w:rStyle w:val="Refdenotaderodap"/>
          <w:rFonts w:ascii="Arial" w:hAnsi="Arial" w:cs="Arial"/>
        </w:rPr>
        <w:footnoteRef/>
      </w:r>
      <w:r w:rsidRPr="00EF37E5">
        <w:rPr>
          <w:rFonts w:ascii="Arial" w:hAnsi="Arial" w:cs="Arial"/>
        </w:rPr>
        <w:t xml:space="preserve"> </w:t>
      </w:r>
      <w:r>
        <w:rPr>
          <w:rFonts w:ascii="Arial" w:hAnsi="Arial" w:cs="Arial"/>
        </w:rPr>
        <w:t>Tribunal de Contas da União. AC 3336-17/11-1. Rel. Min. Augusto Nardes. Sessão de 24/05/2011. Grifos aditados.</w:t>
      </w:r>
    </w:p>
  </w:footnote>
  <w:footnote w:id="7">
    <w:p w:rsidR="00935CFE" w:rsidRPr="00953353" w:rsidRDefault="00935CFE" w:rsidP="00953353">
      <w:pPr>
        <w:pStyle w:val="western"/>
        <w:spacing w:before="0" w:beforeAutospacing="0" w:after="0" w:afterAutospacing="0"/>
        <w:jc w:val="both"/>
        <w:rPr>
          <w:rFonts w:ascii="Arial" w:hAnsi="Arial" w:cs="Arial"/>
          <w:sz w:val="20"/>
          <w:szCs w:val="20"/>
        </w:rPr>
      </w:pPr>
      <w:r w:rsidRPr="00953353">
        <w:rPr>
          <w:rStyle w:val="Refdenotaderodap"/>
          <w:rFonts w:ascii="Arial" w:hAnsi="Arial" w:cs="Arial"/>
          <w:sz w:val="20"/>
          <w:szCs w:val="20"/>
        </w:rPr>
        <w:footnoteRef/>
      </w:r>
      <w:r w:rsidRPr="00953353">
        <w:rPr>
          <w:rFonts w:ascii="Arial" w:hAnsi="Arial" w:cs="Arial"/>
          <w:sz w:val="20"/>
          <w:szCs w:val="20"/>
        </w:rPr>
        <w:t xml:space="preserve"> Art. 15. É vedada a inclusão, tolerância ou admissão, nos convênios, sob pena de nulidade do ato e responsabilidade do agente, de cláusulas ou condições que prevejam ou permitam: </w:t>
      </w:r>
    </w:p>
    <w:p w:rsidR="00935CFE" w:rsidRPr="00953353" w:rsidRDefault="00935CFE" w:rsidP="00953353">
      <w:pPr>
        <w:pStyle w:val="western"/>
        <w:spacing w:before="0" w:beforeAutospacing="0" w:after="0" w:afterAutospacing="0"/>
        <w:jc w:val="both"/>
        <w:rPr>
          <w:rFonts w:ascii="Arial" w:hAnsi="Arial" w:cs="Arial"/>
          <w:sz w:val="20"/>
          <w:szCs w:val="20"/>
        </w:rPr>
      </w:pPr>
      <w:r>
        <w:rPr>
          <w:rFonts w:ascii="Arial" w:hAnsi="Arial" w:cs="Arial"/>
          <w:sz w:val="20"/>
          <w:szCs w:val="20"/>
        </w:rPr>
        <w:t>[...]</w:t>
      </w:r>
    </w:p>
    <w:p w:rsidR="00935CFE" w:rsidRPr="00953353" w:rsidRDefault="00935CFE" w:rsidP="00953353">
      <w:pPr>
        <w:pStyle w:val="western"/>
        <w:spacing w:before="0" w:beforeAutospacing="0" w:after="0" w:afterAutospacing="0"/>
        <w:jc w:val="both"/>
      </w:pPr>
      <w:r w:rsidRPr="00953353">
        <w:rPr>
          <w:rFonts w:ascii="Arial" w:hAnsi="Arial" w:cs="Arial"/>
          <w:sz w:val="20"/>
          <w:szCs w:val="20"/>
        </w:rPr>
        <w:t xml:space="preserve">VII - realização de despesas com taxas bancárias, multas, juros ou atualização monetária, inclusive referentes a pagamentos ou recolhimentos efetuados fora dos prazos, ressalvadas as hipóteses constantes de legislação específica, inclusive CPMF; </w:t>
      </w:r>
    </w:p>
  </w:footnote>
  <w:footnote w:id="8">
    <w:p w:rsidR="00935CFE" w:rsidRDefault="00935CFE" w:rsidP="00C65EF3">
      <w:pPr>
        <w:pStyle w:val="Textodenotaderodap"/>
        <w:jc w:val="both"/>
        <w:rPr>
          <w:rFonts w:ascii="Arial" w:hAnsi="Arial" w:cs="Arial"/>
        </w:rPr>
      </w:pPr>
      <w:r w:rsidRPr="00C65EF3">
        <w:rPr>
          <w:rStyle w:val="Refdenotaderodap"/>
          <w:rFonts w:ascii="Arial" w:hAnsi="Arial" w:cs="Arial"/>
        </w:rPr>
        <w:footnoteRef/>
      </w:r>
      <w:r w:rsidRPr="00C65EF3">
        <w:rPr>
          <w:rFonts w:ascii="Arial" w:hAnsi="Arial" w:cs="Arial"/>
        </w:rPr>
        <w:t xml:space="preserve"> </w:t>
      </w:r>
      <w:r>
        <w:rPr>
          <w:rFonts w:ascii="Arial" w:hAnsi="Arial" w:cs="Arial"/>
        </w:rPr>
        <w:t>“CLÁUSULA QUINTA – DOS RECURSOS ORÇAMENTÁRIOS E FINANCEIROS</w:t>
      </w:r>
    </w:p>
    <w:p w:rsidR="00935CFE" w:rsidRPr="00C65EF3" w:rsidRDefault="00935CFE" w:rsidP="00C65EF3">
      <w:pPr>
        <w:pStyle w:val="Textodenotaderodap"/>
        <w:jc w:val="both"/>
        <w:rPr>
          <w:rFonts w:ascii="Arial" w:hAnsi="Arial" w:cs="Arial"/>
        </w:rPr>
      </w:pPr>
      <w:r>
        <w:rPr>
          <w:rFonts w:ascii="Arial" w:hAnsi="Arial" w:cs="Arial"/>
        </w:rPr>
        <w:t xml:space="preserve">O valor global do presente Convênio é de R$ 2.672.302,16 (dois milhões, seiscentos e setenta e dois mil, trezentos e dois reais e dezesseis centavos), </w:t>
      </w:r>
      <w:r w:rsidRPr="00A65C7F">
        <w:rPr>
          <w:rFonts w:ascii="Arial" w:hAnsi="Arial" w:cs="Arial"/>
          <w:u w:val="single"/>
        </w:rPr>
        <w:t>sendo R$ 267.230,22 (duzentos e sessenta e sete mil, duzentos e trinta reais e vinte e dois centavos) do CONVENENTE, como contrapartida</w:t>
      </w:r>
      <w:r>
        <w:rPr>
          <w:rFonts w:ascii="Arial" w:hAnsi="Arial" w:cs="Arial"/>
        </w:rPr>
        <w:t>, e R$ 2.405.071,94 (dois milhões, quatrocentos e cinco mil e setenta e um reais e noventa e quatro centavos) da SEMAD, a serem liberados conforme constante no Plano de Trabalho, Anexo I. Os recursos da SEMAD estão consignados na dotação orçamentária infra elencada, para 2009: [...]”. [grifos aditados]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1" w:type="dxa"/>
      <w:tblLayout w:type="fixed"/>
      <w:tblCellMar>
        <w:left w:w="70" w:type="dxa"/>
        <w:right w:w="70" w:type="dxa"/>
      </w:tblCellMar>
      <w:tblLook w:val="0000"/>
    </w:tblPr>
    <w:tblGrid>
      <w:gridCol w:w="7870"/>
      <w:gridCol w:w="1341"/>
    </w:tblGrid>
    <w:tr w:rsidR="00935CFE" w:rsidTr="004F6959">
      <w:trPr>
        <w:trHeight w:val="852"/>
      </w:trPr>
      <w:tc>
        <w:tcPr>
          <w:tcW w:w="7870" w:type="dxa"/>
        </w:tcPr>
        <w:p w:rsidR="00935CFE" w:rsidRDefault="00935CFE">
          <w:pPr>
            <w:pStyle w:val="Cabealho"/>
            <w:rPr>
              <w:sz w:val="16"/>
            </w:rPr>
          </w:pPr>
          <w:r>
            <w:t xml:space="preserve">                                                     </w:t>
          </w:r>
          <w:r w:rsidRPr="00954ED0">
            <w:rPr>
              <w:noProof/>
            </w:rPr>
            <w:drawing>
              <wp:inline distT="0" distB="0" distL="0" distR="0">
                <wp:extent cx="758825" cy="724535"/>
                <wp:effectExtent l="19050" t="0" r="3175"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58825" cy="724535"/>
                        </a:xfrm>
                        <a:prstGeom prst="rect">
                          <a:avLst/>
                        </a:prstGeom>
                        <a:noFill/>
                        <a:ln w="9525">
                          <a:noFill/>
                          <a:miter lim="800000"/>
                          <a:headEnd/>
                          <a:tailEnd/>
                        </a:ln>
                      </pic:spPr>
                    </pic:pic>
                  </a:graphicData>
                </a:graphic>
              </wp:inline>
            </w:drawing>
          </w:r>
        </w:p>
      </w:tc>
      <w:tc>
        <w:tcPr>
          <w:tcW w:w="1341" w:type="dxa"/>
        </w:tcPr>
        <w:p w:rsidR="00935CFE" w:rsidRDefault="00935CFE">
          <w:pPr>
            <w:jc w:val="center"/>
            <w:rPr>
              <w:sz w:val="16"/>
            </w:rPr>
          </w:pPr>
        </w:p>
        <w:p w:rsidR="00935CFE" w:rsidRDefault="00935CFE" w:rsidP="004F6959">
          <w:pPr>
            <w:pStyle w:val="Cabealho"/>
            <w:jc w:val="center"/>
            <w:rPr>
              <w:sz w:val="16"/>
            </w:rPr>
          </w:pPr>
        </w:p>
      </w:tc>
    </w:tr>
    <w:tr w:rsidR="00935CFE" w:rsidTr="004F6959">
      <w:tc>
        <w:tcPr>
          <w:tcW w:w="9211" w:type="dxa"/>
          <w:gridSpan w:val="2"/>
        </w:tcPr>
        <w:p w:rsidR="00935CFE" w:rsidRDefault="00935CFE" w:rsidP="004F6959">
          <w:pPr>
            <w:pStyle w:val="Cabealho"/>
            <w:spacing w:before="120"/>
            <w:jc w:val="center"/>
            <w:rPr>
              <w:b/>
              <w:sz w:val="20"/>
            </w:rPr>
          </w:pPr>
          <w:r>
            <w:rPr>
              <w:b/>
              <w:sz w:val="20"/>
            </w:rPr>
            <w:t>MINISTÉRIO PÚBLICO DE CONTAS DO ESTADO DE MINAS GERAIS</w:t>
          </w:r>
        </w:p>
        <w:p w:rsidR="00935CFE" w:rsidRDefault="00935CFE" w:rsidP="004F6959">
          <w:pPr>
            <w:pStyle w:val="Cabealho"/>
            <w:spacing w:before="120"/>
            <w:jc w:val="center"/>
            <w:rPr>
              <w:sz w:val="16"/>
            </w:rPr>
          </w:pPr>
          <w:r>
            <w:rPr>
              <w:b/>
              <w:sz w:val="20"/>
            </w:rPr>
            <w:t>Gabinete da Procuradora Sara Meinberg</w:t>
          </w:r>
        </w:p>
      </w:tc>
    </w:tr>
  </w:tbl>
  <w:p w:rsidR="00935CFE" w:rsidRDefault="00935CFE">
    <w:pPr>
      <w:pStyle w:val="Cabealho"/>
      <w:rPr>
        <w:b/>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1C03920"/>
    <w:name w:val="WW8Num34"/>
    <w:lvl w:ilvl="0">
      <w:start w:val="1"/>
      <w:numFmt w:val="decimal"/>
      <w:lvlText w:val="%1."/>
      <w:lvlJc w:val="left"/>
      <w:pPr>
        <w:tabs>
          <w:tab w:val="num" w:pos="2808"/>
        </w:tabs>
        <w:ind w:left="2808" w:hanging="397"/>
      </w:pPr>
      <w:rPr>
        <w:b w:val="0"/>
        <w:i w:val="0"/>
        <w:strike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58755B"/>
    <w:multiLevelType w:val="hybridMultilevel"/>
    <w:tmpl w:val="2E1C3BE0"/>
    <w:lvl w:ilvl="0" w:tplc="04CA214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0E783813"/>
    <w:multiLevelType w:val="hybridMultilevel"/>
    <w:tmpl w:val="EDEE5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5926878"/>
    <w:multiLevelType w:val="multilevel"/>
    <w:tmpl w:val="44F4954E"/>
    <w:lvl w:ilvl="0">
      <w:start w:val="1"/>
      <w:numFmt w:val="lowerLetter"/>
      <w:lvlText w:val="%1)"/>
      <w:lvlJc w:val="left"/>
      <w:pPr>
        <w:tabs>
          <w:tab w:val="num" w:pos="965"/>
        </w:tabs>
        <w:ind w:left="965" w:hanging="397"/>
      </w:pPr>
      <w:rPr>
        <w:b w:val="0"/>
        <w:i w:val="0"/>
        <w:strike w:val="0"/>
        <w:color w:val="auto"/>
        <w:sz w:val="24"/>
        <w:szCs w:val="24"/>
      </w:rPr>
    </w:lvl>
    <w:lvl w:ilvl="1">
      <w:start w:val="1"/>
      <w:numFmt w:val="lowerLetter"/>
      <w:lvlText w:val="%2."/>
      <w:lvlJc w:val="left"/>
      <w:pPr>
        <w:tabs>
          <w:tab w:val="num" w:pos="6117"/>
        </w:tabs>
        <w:ind w:left="6117" w:hanging="360"/>
      </w:pPr>
    </w:lvl>
    <w:lvl w:ilvl="2">
      <w:start w:val="1"/>
      <w:numFmt w:val="lowerRoman"/>
      <w:lvlText w:val="%3."/>
      <w:lvlJc w:val="right"/>
      <w:pPr>
        <w:tabs>
          <w:tab w:val="num" w:pos="6837"/>
        </w:tabs>
        <w:ind w:left="6837" w:hanging="180"/>
      </w:pPr>
    </w:lvl>
    <w:lvl w:ilvl="3">
      <w:start w:val="1"/>
      <w:numFmt w:val="decimal"/>
      <w:lvlText w:val="%4."/>
      <w:lvlJc w:val="left"/>
      <w:pPr>
        <w:tabs>
          <w:tab w:val="num" w:pos="7557"/>
        </w:tabs>
        <w:ind w:left="7557" w:hanging="360"/>
      </w:pPr>
    </w:lvl>
    <w:lvl w:ilvl="4">
      <w:start w:val="1"/>
      <w:numFmt w:val="lowerLetter"/>
      <w:lvlText w:val="%5."/>
      <w:lvlJc w:val="left"/>
      <w:pPr>
        <w:tabs>
          <w:tab w:val="num" w:pos="8277"/>
        </w:tabs>
        <w:ind w:left="8277" w:hanging="360"/>
      </w:pPr>
    </w:lvl>
    <w:lvl w:ilvl="5">
      <w:start w:val="1"/>
      <w:numFmt w:val="lowerRoman"/>
      <w:lvlText w:val="%6."/>
      <w:lvlJc w:val="right"/>
      <w:pPr>
        <w:tabs>
          <w:tab w:val="num" w:pos="8997"/>
        </w:tabs>
        <w:ind w:left="8997" w:hanging="180"/>
      </w:pPr>
    </w:lvl>
    <w:lvl w:ilvl="6">
      <w:start w:val="1"/>
      <w:numFmt w:val="decimal"/>
      <w:lvlText w:val="%7."/>
      <w:lvlJc w:val="left"/>
      <w:pPr>
        <w:tabs>
          <w:tab w:val="num" w:pos="9717"/>
        </w:tabs>
        <w:ind w:left="9717" w:hanging="360"/>
      </w:pPr>
    </w:lvl>
    <w:lvl w:ilvl="7">
      <w:start w:val="1"/>
      <w:numFmt w:val="lowerLetter"/>
      <w:lvlText w:val="%8."/>
      <w:lvlJc w:val="left"/>
      <w:pPr>
        <w:tabs>
          <w:tab w:val="num" w:pos="10437"/>
        </w:tabs>
        <w:ind w:left="10437" w:hanging="360"/>
      </w:pPr>
    </w:lvl>
    <w:lvl w:ilvl="8">
      <w:start w:val="1"/>
      <w:numFmt w:val="lowerRoman"/>
      <w:lvlText w:val="%9."/>
      <w:lvlJc w:val="right"/>
      <w:pPr>
        <w:tabs>
          <w:tab w:val="num" w:pos="11157"/>
        </w:tabs>
        <w:ind w:left="11157" w:hanging="180"/>
      </w:pPr>
    </w:lvl>
  </w:abstractNum>
  <w:abstractNum w:abstractNumId="4">
    <w:nsid w:val="60317E04"/>
    <w:multiLevelType w:val="hybridMultilevel"/>
    <w:tmpl w:val="350675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76730CE"/>
    <w:multiLevelType w:val="hybridMultilevel"/>
    <w:tmpl w:val="E32C939A"/>
    <w:lvl w:ilvl="0" w:tplc="F446DBAC">
      <w:start w:val="1"/>
      <w:numFmt w:val="decimal"/>
      <w:lvlText w:val="%1."/>
      <w:lvlJc w:val="left"/>
      <w:pPr>
        <w:ind w:left="720" w:hanging="360"/>
      </w:pPr>
      <w:rPr>
        <w:sz w:val="18"/>
        <w:szCs w:val="18"/>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6BFD19FC"/>
    <w:multiLevelType w:val="hybridMultilevel"/>
    <w:tmpl w:val="76BEE392"/>
    <w:lvl w:ilvl="0" w:tplc="CD08524E">
      <w:start w:val="1"/>
      <w:numFmt w:val="decimal"/>
      <w:lvlText w:val="%1."/>
      <w:lvlJc w:val="left"/>
      <w:pPr>
        <w:tabs>
          <w:tab w:val="num" w:pos="539"/>
        </w:tabs>
        <w:ind w:left="539" w:hanging="397"/>
      </w:pPr>
      <w:rPr>
        <w:rFonts w:ascii="Arial" w:hAnsi="Arial" w:cs="Arial" w:hint="default"/>
        <w:b/>
        <w:i w:val="0"/>
        <w:strike w:val="0"/>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hideSpellingErrors/>
  <w:hideGrammaticalErrors/>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995224"/>
    <w:rsid w:val="00004E62"/>
    <w:rsid w:val="000107D3"/>
    <w:rsid w:val="0001670F"/>
    <w:rsid w:val="0002509E"/>
    <w:rsid w:val="000261DE"/>
    <w:rsid w:val="000262FB"/>
    <w:rsid w:val="00031206"/>
    <w:rsid w:val="0003732A"/>
    <w:rsid w:val="00051C24"/>
    <w:rsid w:val="00052497"/>
    <w:rsid w:val="00063F16"/>
    <w:rsid w:val="00072EF7"/>
    <w:rsid w:val="00073FF0"/>
    <w:rsid w:val="00074929"/>
    <w:rsid w:val="00085E76"/>
    <w:rsid w:val="00086CA9"/>
    <w:rsid w:val="000B6601"/>
    <w:rsid w:val="000B6ACA"/>
    <w:rsid w:val="000D3CF5"/>
    <w:rsid w:val="000D61BD"/>
    <w:rsid w:val="000F24BC"/>
    <w:rsid w:val="000F67B5"/>
    <w:rsid w:val="00122889"/>
    <w:rsid w:val="00123F92"/>
    <w:rsid w:val="00135E46"/>
    <w:rsid w:val="00142062"/>
    <w:rsid w:val="00160A08"/>
    <w:rsid w:val="00161CB6"/>
    <w:rsid w:val="0016282F"/>
    <w:rsid w:val="0016359C"/>
    <w:rsid w:val="0017258B"/>
    <w:rsid w:val="001918CA"/>
    <w:rsid w:val="001A5B1C"/>
    <w:rsid w:val="001A72A3"/>
    <w:rsid w:val="001B1A4E"/>
    <w:rsid w:val="001C03F6"/>
    <w:rsid w:val="001D2F30"/>
    <w:rsid w:val="001D37BE"/>
    <w:rsid w:val="001D7A66"/>
    <w:rsid w:val="001D7CEE"/>
    <w:rsid w:val="001E3523"/>
    <w:rsid w:val="001E7D2D"/>
    <w:rsid w:val="001F0E2F"/>
    <w:rsid w:val="001F56B7"/>
    <w:rsid w:val="002050E3"/>
    <w:rsid w:val="00205CB6"/>
    <w:rsid w:val="00207122"/>
    <w:rsid w:val="0023062F"/>
    <w:rsid w:val="00231DED"/>
    <w:rsid w:val="00236CA7"/>
    <w:rsid w:val="0025564E"/>
    <w:rsid w:val="00262A2C"/>
    <w:rsid w:val="002752FC"/>
    <w:rsid w:val="002778FD"/>
    <w:rsid w:val="00282690"/>
    <w:rsid w:val="00282B49"/>
    <w:rsid w:val="00285A3B"/>
    <w:rsid w:val="002938AF"/>
    <w:rsid w:val="002A2FB5"/>
    <w:rsid w:val="002C1591"/>
    <w:rsid w:val="002C6042"/>
    <w:rsid w:val="002D217E"/>
    <w:rsid w:val="002E0ABB"/>
    <w:rsid w:val="0030164F"/>
    <w:rsid w:val="00302060"/>
    <w:rsid w:val="00310D0B"/>
    <w:rsid w:val="00316592"/>
    <w:rsid w:val="0032363B"/>
    <w:rsid w:val="00327090"/>
    <w:rsid w:val="003305DA"/>
    <w:rsid w:val="0033765D"/>
    <w:rsid w:val="0034325A"/>
    <w:rsid w:val="0034601D"/>
    <w:rsid w:val="00347394"/>
    <w:rsid w:val="00350587"/>
    <w:rsid w:val="00356AA1"/>
    <w:rsid w:val="00373530"/>
    <w:rsid w:val="00382051"/>
    <w:rsid w:val="00383846"/>
    <w:rsid w:val="0038459B"/>
    <w:rsid w:val="00395705"/>
    <w:rsid w:val="003A27D3"/>
    <w:rsid w:val="003C1062"/>
    <w:rsid w:val="003C4233"/>
    <w:rsid w:val="003C5D49"/>
    <w:rsid w:val="003D7625"/>
    <w:rsid w:val="003D7E92"/>
    <w:rsid w:val="003E1621"/>
    <w:rsid w:val="0040430D"/>
    <w:rsid w:val="00407905"/>
    <w:rsid w:val="0041194F"/>
    <w:rsid w:val="00412F7A"/>
    <w:rsid w:val="0042221C"/>
    <w:rsid w:val="004273BA"/>
    <w:rsid w:val="00434282"/>
    <w:rsid w:val="00437F01"/>
    <w:rsid w:val="0044147E"/>
    <w:rsid w:val="00442637"/>
    <w:rsid w:val="00447013"/>
    <w:rsid w:val="00452CCF"/>
    <w:rsid w:val="00454AAD"/>
    <w:rsid w:val="004604C3"/>
    <w:rsid w:val="00462539"/>
    <w:rsid w:val="00474F2F"/>
    <w:rsid w:val="004757E1"/>
    <w:rsid w:val="00483848"/>
    <w:rsid w:val="004854A0"/>
    <w:rsid w:val="004C027B"/>
    <w:rsid w:val="004C2F66"/>
    <w:rsid w:val="004C496D"/>
    <w:rsid w:val="004C5500"/>
    <w:rsid w:val="004C5CA0"/>
    <w:rsid w:val="004C6DA8"/>
    <w:rsid w:val="004C793F"/>
    <w:rsid w:val="004D2665"/>
    <w:rsid w:val="004D4CC6"/>
    <w:rsid w:val="004E3AE1"/>
    <w:rsid w:val="004E3E45"/>
    <w:rsid w:val="004F1609"/>
    <w:rsid w:val="004F28D5"/>
    <w:rsid w:val="004F6959"/>
    <w:rsid w:val="004F6A03"/>
    <w:rsid w:val="004F7B4D"/>
    <w:rsid w:val="00500653"/>
    <w:rsid w:val="00503A5E"/>
    <w:rsid w:val="005113CF"/>
    <w:rsid w:val="005121F2"/>
    <w:rsid w:val="00517E3C"/>
    <w:rsid w:val="00521F3F"/>
    <w:rsid w:val="0053513E"/>
    <w:rsid w:val="0054102B"/>
    <w:rsid w:val="005410F4"/>
    <w:rsid w:val="00543853"/>
    <w:rsid w:val="005477CD"/>
    <w:rsid w:val="00551E65"/>
    <w:rsid w:val="00594337"/>
    <w:rsid w:val="005A3103"/>
    <w:rsid w:val="005B191F"/>
    <w:rsid w:val="005B4CC8"/>
    <w:rsid w:val="005B61A4"/>
    <w:rsid w:val="005C26C3"/>
    <w:rsid w:val="005C2D2E"/>
    <w:rsid w:val="005C614E"/>
    <w:rsid w:val="005D2891"/>
    <w:rsid w:val="005D3357"/>
    <w:rsid w:val="005D3D09"/>
    <w:rsid w:val="005E1C05"/>
    <w:rsid w:val="005E5FBD"/>
    <w:rsid w:val="005F0CFA"/>
    <w:rsid w:val="00605D7F"/>
    <w:rsid w:val="00615D0A"/>
    <w:rsid w:val="006237F0"/>
    <w:rsid w:val="00625229"/>
    <w:rsid w:val="00627A18"/>
    <w:rsid w:val="00631812"/>
    <w:rsid w:val="006341A2"/>
    <w:rsid w:val="00640CAB"/>
    <w:rsid w:val="00653244"/>
    <w:rsid w:val="0066278E"/>
    <w:rsid w:val="0067143F"/>
    <w:rsid w:val="00671B21"/>
    <w:rsid w:val="00675871"/>
    <w:rsid w:val="00675E30"/>
    <w:rsid w:val="00680A11"/>
    <w:rsid w:val="00687937"/>
    <w:rsid w:val="006A4536"/>
    <w:rsid w:val="006A61E1"/>
    <w:rsid w:val="006B241C"/>
    <w:rsid w:val="006C7B48"/>
    <w:rsid w:val="006D6AF9"/>
    <w:rsid w:val="006F12C9"/>
    <w:rsid w:val="007026DE"/>
    <w:rsid w:val="00705522"/>
    <w:rsid w:val="00716712"/>
    <w:rsid w:val="0071692A"/>
    <w:rsid w:val="00720563"/>
    <w:rsid w:val="00727CF2"/>
    <w:rsid w:val="00736261"/>
    <w:rsid w:val="007419A3"/>
    <w:rsid w:val="00743FC7"/>
    <w:rsid w:val="00760422"/>
    <w:rsid w:val="0076781D"/>
    <w:rsid w:val="007856F0"/>
    <w:rsid w:val="00792BBB"/>
    <w:rsid w:val="007A1454"/>
    <w:rsid w:val="007A4615"/>
    <w:rsid w:val="007B1DA8"/>
    <w:rsid w:val="007B3379"/>
    <w:rsid w:val="007C5706"/>
    <w:rsid w:val="007D0E1D"/>
    <w:rsid w:val="007D47D0"/>
    <w:rsid w:val="007D72C0"/>
    <w:rsid w:val="007F024D"/>
    <w:rsid w:val="00810E2F"/>
    <w:rsid w:val="00811AF1"/>
    <w:rsid w:val="00822E2E"/>
    <w:rsid w:val="008332C8"/>
    <w:rsid w:val="0083559E"/>
    <w:rsid w:val="00855373"/>
    <w:rsid w:val="00857942"/>
    <w:rsid w:val="008664FF"/>
    <w:rsid w:val="00881327"/>
    <w:rsid w:val="00883979"/>
    <w:rsid w:val="00895766"/>
    <w:rsid w:val="008A50EB"/>
    <w:rsid w:val="008B11F5"/>
    <w:rsid w:val="008F326D"/>
    <w:rsid w:val="008F62E3"/>
    <w:rsid w:val="009016C2"/>
    <w:rsid w:val="0090240E"/>
    <w:rsid w:val="00903C1B"/>
    <w:rsid w:val="0090752A"/>
    <w:rsid w:val="00913DCE"/>
    <w:rsid w:val="00921265"/>
    <w:rsid w:val="009328BB"/>
    <w:rsid w:val="00935CFE"/>
    <w:rsid w:val="00936B84"/>
    <w:rsid w:val="00937ABA"/>
    <w:rsid w:val="00941A02"/>
    <w:rsid w:val="009442A2"/>
    <w:rsid w:val="00946D6A"/>
    <w:rsid w:val="00953353"/>
    <w:rsid w:val="00956F03"/>
    <w:rsid w:val="00957A4B"/>
    <w:rsid w:val="00987CB6"/>
    <w:rsid w:val="00991053"/>
    <w:rsid w:val="00993004"/>
    <w:rsid w:val="00995224"/>
    <w:rsid w:val="009967A5"/>
    <w:rsid w:val="00996ACF"/>
    <w:rsid w:val="009975F1"/>
    <w:rsid w:val="009A7D2D"/>
    <w:rsid w:val="009B1DE8"/>
    <w:rsid w:val="009B4942"/>
    <w:rsid w:val="009B7C33"/>
    <w:rsid w:val="009D1432"/>
    <w:rsid w:val="009D72BD"/>
    <w:rsid w:val="009E18AD"/>
    <w:rsid w:val="009F3909"/>
    <w:rsid w:val="00A0479E"/>
    <w:rsid w:val="00A14265"/>
    <w:rsid w:val="00A218E0"/>
    <w:rsid w:val="00A30E97"/>
    <w:rsid w:val="00A33D81"/>
    <w:rsid w:val="00A34D01"/>
    <w:rsid w:val="00A37F70"/>
    <w:rsid w:val="00A6557F"/>
    <w:rsid w:val="00A65C7F"/>
    <w:rsid w:val="00A72245"/>
    <w:rsid w:val="00A74A37"/>
    <w:rsid w:val="00A847EA"/>
    <w:rsid w:val="00AA4EE9"/>
    <w:rsid w:val="00AC4281"/>
    <w:rsid w:val="00AD263E"/>
    <w:rsid w:val="00AD2E98"/>
    <w:rsid w:val="00AD6860"/>
    <w:rsid w:val="00AE17C4"/>
    <w:rsid w:val="00AE233B"/>
    <w:rsid w:val="00AE401C"/>
    <w:rsid w:val="00AF1C25"/>
    <w:rsid w:val="00AF2858"/>
    <w:rsid w:val="00B07259"/>
    <w:rsid w:val="00B34338"/>
    <w:rsid w:val="00B44EA2"/>
    <w:rsid w:val="00B46E79"/>
    <w:rsid w:val="00B559E3"/>
    <w:rsid w:val="00B72C1E"/>
    <w:rsid w:val="00B83052"/>
    <w:rsid w:val="00BA0EF9"/>
    <w:rsid w:val="00BA6985"/>
    <w:rsid w:val="00BB0060"/>
    <w:rsid w:val="00BB4171"/>
    <w:rsid w:val="00BB450D"/>
    <w:rsid w:val="00BB718B"/>
    <w:rsid w:val="00BC5053"/>
    <w:rsid w:val="00BC7D33"/>
    <w:rsid w:val="00BD0669"/>
    <w:rsid w:val="00BD173F"/>
    <w:rsid w:val="00BE55CC"/>
    <w:rsid w:val="00BF2298"/>
    <w:rsid w:val="00BF245D"/>
    <w:rsid w:val="00BF4E54"/>
    <w:rsid w:val="00BF5EAB"/>
    <w:rsid w:val="00C032D0"/>
    <w:rsid w:val="00C07747"/>
    <w:rsid w:val="00C07ACE"/>
    <w:rsid w:val="00C15B04"/>
    <w:rsid w:val="00C20B8D"/>
    <w:rsid w:val="00C219C4"/>
    <w:rsid w:val="00C23146"/>
    <w:rsid w:val="00C23A99"/>
    <w:rsid w:val="00C3287A"/>
    <w:rsid w:val="00C34F3A"/>
    <w:rsid w:val="00C352DE"/>
    <w:rsid w:val="00C46280"/>
    <w:rsid w:val="00C527D6"/>
    <w:rsid w:val="00C52907"/>
    <w:rsid w:val="00C54EA5"/>
    <w:rsid w:val="00C57D1D"/>
    <w:rsid w:val="00C61850"/>
    <w:rsid w:val="00C65EF3"/>
    <w:rsid w:val="00C7045E"/>
    <w:rsid w:val="00C8135B"/>
    <w:rsid w:val="00C86C06"/>
    <w:rsid w:val="00C908AD"/>
    <w:rsid w:val="00CA458F"/>
    <w:rsid w:val="00CA5B35"/>
    <w:rsid w:val="00CB20F5"/>
    <w:rsid w:val="00CC4AC5"/>
    <w:rsid w:val="00CD0A62"/>
    <w:rsid w:val="00CD0E43"/>
    <w:rsid w:val="00CD5546"/>
    <w:rsid w:val="00CD55DB"/>
    <w:rsid w:val="00CD7184"/>
    <w:rsid w:val="00CE598B"/>
    <w:rsid w:val="00CF2F5B"/>
    <w:rsid w:val="00CF486B"/>
    <w:rsid w:val="00CF553E"/>
    <w:rsid w:val="00D02BEC"/>
    <w:rsid w:val="00D14EC0"/>
    <w:rsid w:val="00D160DD"/>
    <w:rsid w:val="00D22538"/>
    <w:rsid w:val="00D27AC0"/>
    <w:rsid w:val="00D33F7C"/>
    <w:rsid w:val="00D371EA"/>
    <w:rsid w:val="00D41A64"/>
    <w:rsid w:val="00D432C6"/>
    <w:rsid w:val="00D52A48"/>
    <w:rsid w:val="00D57CE9"/>
    <w:rsid w:val="00D6062A"/>
    <w:rsid w:val="00D61672"/>
    <w:rsid w:val="00D63D7F"/>
    <w:rsid w:val="00D709FA"/>
    <w:rsid w:val="00D72479"/>
    <w:rsid w:val="00D86AAD"/>
    <w:rsid w:val="00D94AF1"/>
    <w:rsid w:val="00DA0B18"/>
    <w:rsid w:val="00DA3E63"/>
    <w:rsid w:val="00DB36C0"/>
    <w:rsid w:val="00DD00A6"/>
    <w:rsid w:val="00DD5948"/>
    <w:rsid w:val="00DE3123"/>
    <w:rsid w:val="00DE42EB"/>
    <w:rsid w:val="00DF0467"/>
    <w:rsid w:val="00DF111A"/>
    <w:rsid w:val="00DF6429"/>
    <w:rsid w:val="00E04B01"/>
    <w:rsid w:val="00E05B1F"/>
    <w:rsid w:val="00E07590"/>
    <w:rsid w:val="00E258F0"/>
    <w:rsid w:val="00E27F36"/>
    <w:rsid w:val="00E61848"/>
    <w:rsid w:val="00E62743"/>
    <w:rsid w:val="00E65480"/>
    <w:rsid w:val="00E65CEC"/>
    <w:rsid w:val="00E7748C"/>
    <w:rsid w:val="00E7763A"/>
    <w:rsid w:val="00E96B0B"/>
    <w:rsid w:val="00EA4A01"/>
    <w:rsid w:val="00EB3C76"/>
    <w:rsid w:val="00EB6CBD"/>
    <w:rsid w:val="00EC089D"/>
    <w:rsid w:val="00EC68E0"/>
    <w:rsid w:val="00EE7982"/>
    <w:rsid w:val="00EE7FEE"/>
    <w:rsid w:val="00EF107A"/>
    <w:rsid w:val="00EF37E5"/>
    <w:rsid w:val="00F0198C"/>
    <w:rsid w:val="00F02348"/>
    <w:rsid w:val="00F02E9D"/>
    <w:rsid w:val="00F05751"/>
    <w:rsid w:val="00F148C8"/>
    <w:rsid w:val="00F248C1"/>
    <w:rsid w:val="00F478C9"/>
    <w:rsid w:val="00F65B00"/>
    <w:rsid w:val="00F7155F"/>
    <w:rsid w:val="00F75834"/>
    <w:rsid w:val="00FA77CE"/>
    <w:rsid w:val="00FB715F"/>
    <w:rsid w:val="00FC15AA"/>
    <w:rsid w:val="00FC1A11"/>
    <w:rsid w:val="00FD072E"/>
    <w:rsid w:val="00FE1209"/>
    <w:rsid w:val="00FE4E68"/>
    <w:rsid w:val="00FE7B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224"/>
    <w:pPr>
      <w:spacing w:after="0" w:line="240" w:lineRule="auto"/>
    </w:pPr>
    <w:rPr>
      <w:rFonts w:ascii="Century Schoolbook" w:eastAsia="Times New Roman" w:hAnsi="Century Schoolbook" w:cs="Times New Roman"/>
      <w:sz w:val="24"/>
      <w:szCs w:val="24"/>
      <w:lang w:eastAsia="pt-BR"/>
    </w:rPr>
  </w:style>
  <w:style w:type="paragraph" w:styleId="Ttulo1">
    <w:name w:val="heading 1"/>
    <w:basedOn w:val="Normal"/>
    <w:next w:val="Normal"/>
    <w:link w:val="Ttulo1Char"/>
    <w:qFormat/>
    <w:rsid w:val="0017258B"/>
    <w:pPr>
      <w:keepNext/>
      <w:jc w:val="both"/>
      <w:outlineLvl w:val="0"/>
    </w:pPr>
    <w:rPr>
      <w:rFonts w:ascii="Arial Narrow" w:hAnsi="Arial Narrow"/>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95224"/>
    <w:pPr>
      <w:tabs>
        <w:tab w:val="center" w:pos="4252"/>
        <w:tab w:val="right" w:pos="8504"/>
      </w:tabs>
    </w:pPr>
  </w:style>
  <w:style w:type="character" w:customStyle="1" w:styleId="CabealhoChar">
    <w:name w:val="Cabeçalho Char"/>
    <w:basedOn w:val="Fontepargpadro"/>
    <w:link w:val="Cabealho"/>
    <w:rsid w:val="00995224"/>
    <w:rPr>
      <w:rFonts w:ascii="Century Schoolbook" w:eastAsia="Times New Roman" w:hAnsi="Century Schoolbook" w:cs="Times New Roman"/>
      <w:sz w:val="24"/>
      <w:szCs w:val="24"/>
      <w:lang w:eastAsia="pt-BR"/>
    </w:rPr>
  </w:style>
  <w:style w:type="paragraph" w:styleId="Rodap">
    <w:name w:val="footer"/>
    <w:basedOn w:val="Normal"/>
    <w:link w:val="RodapChar"/>
    <w:uiPriority w:val="99"/>
    <w:rsid w:val="00995224"/>
    <w:pPr>
      <w:tabs>
        <w:tab w:val="center" w:pos="4252"/>
        <w:tab w:val="right" w:pos="8504"/>
      </w:tabs>
    </w:pPr>
  </w:style>
  <w:style w:type="character" w:customStyle="1" w:styleId="RodapChar">
    <w:name w:val="Rodapé Char"/>
    <w:basedOn w:val="Fontepargpadro"/>
    <w:link w:val="Rodap"/>
    <w:uiPriority w:val="99"/>
    <w:rsid w:val="00995224"/>
    <w:rPr>
      <w:rFonts w:ascii="Century Schoolbook" w:eastAsia="Times New Roman" w:hAnsi="Century Schoolbook" w:cs="Times New Roman"/>
      <w:sz w:val="24"/>
      <w:szCs w:val="24"/>
      <w:lang w:eastAsia="pt-BR"/>
    </w:rPr>
  </w:style>
  <w:style w:type="character" w:styleId="Hyperlink">
    <w:name w:val="Hyperlink"/>
    <w:basedOn w:val="Fontepargpadro"/>
    <w:uiPriority w:val="99"/>
    <w:rsid w:val="00995224"/>
    <w:rPr>
      <w:color w:val="0000FF"/>
      <w:u w:val="single"/>
    </w:rPr>
  </w:style>
  <w:style w:type="paragraph" w:styleId="Textodenotaderodap">
    <w:name w:val="footnote text"/>
    <w:basedOn w:val="Normal"/>
    <w:link w:val="TextodenotaderodapChar"/>
    <w:uiPriority w:val="99"/>
    <w:rsid w:val="00995224"/>
    <w:rPr>
      <w:sz w:val="20"/>
      <w:szCs w:val="20"/>
    </w:rPr>
  </w:style>
  <w:style w:type="character" w:customStyle="1" w:styleId="TextodenotaderodapChar">
    <w:name w:val="Texto de nota de rodapé Char"/>
    <w:basedOn w:val="Fontepargpadro"/>
    <w:link w:val="Textodenotaderodap"/>
    <w:uiPriority w:val="99"/>
    <w:rsid w:val="00995224"/>
    <w:rPr>
      <w:rFonts w:ascii="Century Schoolbook" w:eastAsia="Times New Roman" w:hAnsi="Century Schoolbook" w:cs="Times New Roman"/>
      <w:sz w:val="20"/>
      <w:szCs w:val="20"/>
      <w:lang w:eastAsia="pt-BR"/>
    </w:rPr>
  </w:style>
  <w:style w:type="character" w:styleId="Refdenotaderodap">
    <w:name w:val="footnote reference"/>
    <w:basedOn w:val="Fontepargpadro"/>
    <w:uiPriority w:val="99"/>
    <w:rsid w:val="00995224"/>
    <w:rPr>
      <w:vertAlign w:val="superscript"/>
    </w:rPr>
  </w:style>
  <w:style w:type="paragraph" w:styleId="Textodebalo">
    <w:name w:val="Balloon Text"/>
    <w:basedOn w:val="Normal"/>
    <w:link w:val="TextodebaloChar"/>
    <w:uiPriority w:val="99"/>
    <w:semiHidden/>
    <w:unhideWhenUsed/>
    <w:rsid w:val="00995224"/>
    <w:rPr>
      <w:rFonts w:ascii="Tahoma" w:hAnsi="Tahoma" w:cs="Tahoma"/>
      <w:sz w:val="16"/>
      <w:szCs w:val="16"/>
    </w:rPr>
  </w:style>
  <w:style w:type="character" w:customStyle="1" w:styleId="TextodebaloChar">
    <w:name w:val="Texto de balão Char"/>
    <w:basedOn w:val="Fontepargpadro"/>
    <w:link w:val="Textodebalo"/>
    <w:uiPriority w:val="99"/>
    <w:semiHidden/>
    <w:rsid w:val="00995224"/>
    <w:rPr>
      <w:rFonts w:ascii="Tahoma" w:eastAsia="Times New Roman" w:hAnsi="Tahoma" w:cs="Tahoma"/>
      <w:sz w:val="16"/>
      <w:szCs w:val="16"/>
      <w:lang w:eastAsia="pt-BR"/>
    </w:rPr>
  </w:style>
  <w:style w:type="paragraph" w:styleId="NormalWeb">
    <w:name w:val="Normal (Web)"/>
    <w:basedOn w:val="Normal"/>
    <w:uiPriority w:val="99"/>
    <w:unhideWhenUsed/>
    <w:rsid w:val="00D22538"/>
    <w:pPr>
      <w:spacing w:before="100" w:beforeAutospacing="1" w:after="100" w:afterAutospacing="1"/>
    </w:pPr>
    <w:rPr>
      <w:rFonts w:ascii="Times New Roman" w:hAnsi="Times New Roman"/>
    </w:rPr>
  </w:style>
  <w:style w:type="paragraph" w:styleId="PargrafodaLista">
    <w:name w:val="List Paragraph"/>
    <w:basedOn w:val="Normal"/>
    <w:uiPriority w:val="34"/>
    <w:qFormat/>
    <w:rsid w:val="00C34F3A"/>
    <w:pPr>
      <w:ind w:left="720"/>
      <w:contextualSpacing/>
    </w:pPr>
  </w:style>
  <w:style w:type="character" w:customStyle="1" w:styleId="Ttulo1Char">
    <w:name w:val="Título 1 Char"/>
    <w:basedOn w:val="Fontepargpadro"/>
    <w:link w:val="Ttulo1"/>
    <w:rsid w:val="0017258B"/>
    <w:rPr>
      <w:rFonts w:ascii="Arial Narrow" w:eastAsia="Times New Roman" w:hAnsi="Arial Narrow" w:cs="Times New Roman"/>
      <w:b/>
      <w:sz w:val="24"/>
      <w:szCs w:val="24"/>
      <w:lang w:eastAsia="pt-BR"/>
    </w:rPr>
  </w:style>
  <w:style w:type="paragraph" w:styleId="TextosemFormatao">
    <w:name w:val="Plain Text"/>
    <w:basedOn w:val="Normal"/>
    <w:link w:val="TextosemFormataoChar"/>
    <w:rsid w:val="00503A5E"/>
    <w:rPr>
      <w:rFonts w:ascii="Courier New" w:hAnsi="Courier New"/>
      <w:sz w:val="20"/>
      <w:szCs w:val="20"/>
    </w:rPr>
  </w:style>
  <w:style w:type="character" w:customStyle="1" w:styleId="TextosemFormataoChar">
    <w:name w:val="Texto sem Formatação Char"/>
    <w:basedOn w:val="Fontepargpadro"/>
    <w:link w:val="TextosemFormatao"/>
    <w:rsid w:val="00503A5E"/>
    <w:rPr>
      <w:rFonts w:ascii="Courier New" w:eastAsia="Times New Roman" w:hAnsi="Courier New" w:cs="Times New Roman"/>
      <w:sz w:val="20"/>
      <w:szCs w:val="20"/>
      <w:lang w:eastAsia="pt-BR"/>
    </w:rPr>
  </w:style>
  <w:style w:type="table" w:styleId="Tabelacomgrade">
    <w:name w:val="Table Grid"/>
    <w:basedOn w:val="Tabelanormal"/>
    <w:uiPriority w:val="59"/>
    <w:rsid w:val="00640C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640CAB"/>
    <w:rPr>
      <w:b/>
      <w:bCs/>
    </w:rPr>
  </w:style>
  <w:style w:type="character" w:styleId="CitaoHTML">
    <w:name w:val="HTML Cite"/>
    <w:basedOn w:val="Fontepargpadro"/>
    <w:uiPriority w:val="99"/>
    <w:semiHidden/>
    <w:unhideWhenUsed/>
    <w:rsid w:val="00C46280"/>
    <w:rPr>
      <w:i/>
      <w:iCs/>
    </w:rPr>
  </w:style>
  <w:style w:type="paragraph" w:customStyle="1" w:styleId="western">
    <w:name w:val="western"/>
    <w:basedOn w:val="Normal"/>
    <w:rsid w:val="00953353"/>
    <w:pPr>
      <w:spacing w:before="100" w:beforeAutospacing="1" w:after="100" w:afterAutospacing="1"/>
    </w:pPr>
    <w:rPr>
      <w:rFonts w:ascii="Times New Roman" w:hAnsi="Times New Roman"/>
    </w:rPr>
  </w:style>
  <w:style w:type="paragraph" w:styleId="Pr-formataoHTML">
    <w:name w:val="HTML Preformatted"/>
    <w:basedOn w:val="Normal"/>
    <w:link w:val="Pr-formataoHTMLChar"/>
    <w:rsid w:val="00903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903C1B"/>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18047117">
      <w:bodyDiv w:val="1"/>
      <w:marLeft w:val="0"/>
      <w:marRight w:val="0"/>
      <w:marTop w:val="0"/>
      <w:marBottom w:val="0"/>
      <w:divBdr>
        <w:top w:val="none" w:sz="0" w:space="0" w:color="auto"/>
        <w:left w:val="none" w:sz="0" w:space="0" w:color="auto"/>
        <w:bottom w:val="none" w:sz="0" w:space="0" w:color="auto"/>
        <w:right w:val="none" w:sz="0" w:space="0" w:color="auto"/>
      </w:divBdr>
    </w:div>
    <w:div w:id="291328419">
      <w:bodyDiv w:val="1"/>
      <w:marLeft w:val="0"/>
      <w:marRight w:val="0"/>
      <w:marTop w:val="0"/>
      <w:marBottom w:val="0"/>
      <w:divBdr>
        <w:top w:val="none" w:sz="0" w:space="0" w:color="auto"/>
        <w:left w:val="none" w:sz="0" w:space="0" w:color="auto"/>
        <w:bottom w:val="none" w:sz="0" w:space="0" w:color="auto"/>
        <w:right w:val="none" w:sz="0" w:space="0" w:color="auto"/>
      </w:divBdr>
    </w:div>
    <w:div w:id="579797046">
      <w:bodyDiv w:val="1"/>
      <w:marLeft w:val="0"/>
      <w:marRight w:val="0"/>
      <w:marTop w:val="0"/>
      <w:marBottom w:val="0"/>
      <w:divBdr>
        <w:top w:val="none" w:sz="0" w:space="0" w:color="auto"/>
        <w:left w:val="none" w:sz="0" w:space="0" w:color="auto"/>
        <w:bottom w:val="none" w:sz="0" w:space="0" w:color="auto"/>
        <w:right w:val="none" w:sz="0" w:space="0" w:color="auto"/>
      </w:divBdr>
    </w:div>
    <w:div w:id="870915852">
      <w:bodyDiv w:val="1"/>
      <w:marLeft w:val="0"/>
      <w:marRight w:val="0"/>
      <w:marTop w:val="0"/>
      <w:marBottom w:val="0"/>
      <w:divBdr>
        <w:top w:val="none" w:sz="0" w:space="0" w:color="auto"/>
        <w:left w:val="none" w:sz="0" w:space="0" w:color="auto"/>
        <w:bottom w:val="none" w:sz="0" w:space="0" w:color="auto"/>
        <w:right w:val="none" w:sz="0" w:space="0" w:color="auto"/>
      </w:divBdr>
    </w:div>
    <w:div w:id="1357543048">
      <w:bodyDiv w:val="1"/>
      <w:marLeft w:val="0"/>
      <w:marRight w:val="0"/>
      <w:marTop w:val="0"/>
      <w:marBottom w:val="0"/>
      <w:divBdr>
        <w:top w:val="none" w:sz="0" w:space="0" w:color="auto"/>
        <w:left w:val="none" w:sz="0" w:space="0" w:color="auto"/>
        <w:bottom w:val="none" w:sz="0" w:space="0" w:color="auto"/>
        <w:right w:val="none" w:sz="0" w:space="0" w:color="auto"/>
      </w:divBdr>
    </w:div>
    <w:div w:id="168258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ntas.tcu.gov.br/portaltextual/MostraDocumento?lnk=(AC-2864-41/13-P)%5bNUMD%5d%5bB001%5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rL1hRb7nMVahYjFWMJUgeBqehho=</DigestValue>
    </Reference>
    <Reference URI="#idOfficeObject" Type="http://www.w3.org/2000/09/xmldsig#Object">
      <DigestMethod Algorithm="http://www.w3.org/2000/09/xmldsig#sha1"/>
      <DigestValue>7GvSvp0ArLcxaqX0pykYkah/jt0=</DigestValue>
    </Reference>
  </SignedInfo>
  <SignatureValue>
    eJqVBAX4R/TGwmBkIS481NeqwTVol4ytEvY1n0StJe6hzzvhYhL1+4b3A/QTGJ8TY3tjud5f
    D+PQIl8YWhCjfrCQ39ZC9kx0JM/yZElwD3IFoj7lO9Pe7A40id+ugcJKadsIAeeFL0N7GtMF
    MMr4I5xv7e5emYMCvn8jF4rTnpLzf78HYrx1mkcOeg97nAKdz6NNQHKXTjK44rbKXbM6aefs
    sMz05W10vImkmbJOUpvE54NQ7eNgGyMjzM1SQAz6L5NYlOQdnZ2jlK+wnZaM8C8jTYVrk1lK
    Th/YRxLGemjM4Emcb6c+bpFkY87WUcWJqbcfzJDTajkkNvkbom//pQ==
  </SignatureValue>
  <KeyInfo>
    <KeyValue>
      <RSAKeyValue>
        <Modulus>
            pWGr1VivlEwf71hYBSWqOo3s5GRUhp01HT4ZbUheB0xbq0HB/3uVWCrkKKcmuczqR0itc5XN
            JFT++azWyeKoqgy/Bx49+HTaHAH27nEVjJNtxoEffSqEjlvoC7PbhFwePdRpXJ/a3hxMvUxw
            TDKtZE8VmAoZKLJiaHvdofZjPv5B/16a9Q4eHI56M4kqF2qGifG3K8ATX1lO0itAlM9136u6
            MYf27llPHVrAnhd+TCM0at1JPuoIXJ795wrSD+gZswSmuoO3FXsl2YBUwzKO21imiJsFqc47
            BGFFkHgSsplcc69nqcuGpKPAT8xms2cbSleZNHOfhu/AD9IhORxewQ==
          </Modulus>
        <Exponent>AQAB</Exponent>
      </RSAKeyValue>
    </KeyValue>
    <X509Data>
      <X509Certificate>
          MIIH9DCCBdygAwIBAgIQJ096ShclnAlAaKdpTx8BmDANBgkqhkiG9w0BAQsFADB3MQswCQYD
          VQQGEwJCUjETMBEGA1UEChMKSUNQLUJyYXNpbDE2MDQGA1UECxMtU2VjcmV0YXJpYSBkYSBS
          ZWNlaXRhIEZlZGVyYWwgZG8gQnJhc2lsIC0gUkZCMRswGQYDVQQDExJBQyBQUk9ERU1HRSBS
          RkIgRzMwHhcNMTUwNTI1MDAwMDAwWhcNMTgwNTIzMjM1OTU5WjCB6DELMAkGA1UEBhMCQlIx
          EzARBgNVBAoUCklDUC1CcmFzaWwxNjA0BgNVBAsULVNlY3JldGFyaWEgZGEgUmVjZWl0YSBG
          ZWRlcmFsIGRvIEJyYXNpbCAtIFJGQjEVMBMGA1UECxQMUkZCIGUtQ1BGIEEzMRQwEgYDVQQL
          FAsoRU0gQlJBTkNPKTEhMB8GA1UECxQYQXV0ZW50aWNhZG8gcG9yIFBST0RFTUdFMTwwOgYD
          VQQDEzNTQVJBIE1FSU5CRVJHIFNDSE1JRFQgREUgQU5EUkFERSBEVUFSVEU6MDAwNzgzNjQ2
          NTUwggEiMA0GCSqGSIb3DQEBAQUAA4IBDwAwggEKAoIBAQClYavVWK+UTB/vWFgFJao6jezk
          ZFSGnTUdPhltSF4HTFurQcH/e5VYKuQopya5zOpHSK1zlc0kVP75rNbJ4qiqDL8HHj34dNoc
          AfbucRWMk23GgR99KoSOW+gLs9uEXB491Glcn9reHEy9THBMMq1kTxWYChkosmJoe92h9mM+
          /kH/Xpr1Dh4cjnoziSoXaoaJ8bcrwBNfWU7SK0CUz3Xfq7oxh/buWU8dWsCeF35MIzRq3Uk+
          6ghcnv3nCtIP6BmzBKa6g7cVeyXZgFTDMo7bWKaImwWpzjsEYUWQeBKymVxzr2epy4ako8BP
          zGazZxtKV5k0c5+G78AP0iE5HF7BAgMBAAGjggMIMIIDBDCBoAYDVR0RBIGYMIGVoD0GBWBM
          AQMBoDQEMjEwMTIxOTczMDAwNzgzNjQ2NTUwMDAwMDAwMDAwMDAwMDAwME1HNjQwMjI1NlNT
          UE1HoBcGBWBMAQMGoA4EDDAwMDAwMDAwMDAwMKAeBgVgTAEDBaAVBBMwMDAwMDAwMDAwMDAw
          MDAwMDAwgRtzYXJhLm1laW5iZXJnQG1wYy5tZy5nb3YuYnIwCQYDVR0TBAIwADAfBgNVHSME
          GDAWgBTUhARBL7QuQTXs74g60UzBbguQVDAOBgNVHQ8BAf8EBAMCBeAwfQYDVR0gBHYwdDBy
          BgZgTAECAxQwaDBmBggrBgEFBQcCARZaaHR0cDovL2ljcC1icmFzaWwuY2VydGlzaWduLmNv
          bS5ici9yZXBvc2l0b3Jpby9kcGMvQUNfUFJPREVNR0VfUkZCL0RQQ19BQ19QUk9ERU1HRV9S
          RkIucGRmMIIBEwYDVR0fBIIBCjCCAQYwVqBUoFKGUGh0dHA6Ly9pY3AtYnJhc2lsLmNlcnRp
          c2lnbi5jb20uYnIvcmVwb3NpdG9yaW8vbGNyL0FDUFJPREVNR0VSRkJHMy9MYXRlc3RDUkwu
          Y3JsMFWgU6BRhk9odHRwOi8vaWNwLWJyYXNpbC5vdXRyYWxjci5jb20uYnIvcmVwb3NpdG9y
          aW8vbGNyL0FDUFJPREVNR0VSRkJHMy9MYXRlc3RDUkwuY3JsMFWgU6BRhk9odHRwOi8vcmVw
          b3NpdG9yaW8uaWNwYnJhc2lsLmdvdi5ici9sY3IvQ2VydGlzaWduL0FDUFJPREVNR0VSRkJH
          My9MYXRlc3RDUkwuY3JsMB0GA1UdJQQWMBQGCCsGAQUFBwMCBggrBgEFBQcDBDBuBggrBgEF
          BQcBAQRiMGAwXgYIKwYBBQUHMAKGUmh0dHA6Ly9pY3AtYnJhc2lsLmNlcnRpc2lnbi5jb20u
          YnIvcmVwb3NpdG9yaW8vY2VydGlmaWNhZG9zL0FDX1BST0RFTUdFX1JGQl9HMy5wN2MwDQYJ
          KoZIhvcNAQELBQADggIBAGDD3HqXSe+QhE3DACYn/P9/MgV+dCVutD7AwqRTtNhObi4rUuKj
          SvpiiKTXaaktgU8Ypvzuxr7VGSlIEL0+1EDHTTuxsahx25rnCuyQyG1nujrfrfKoPP6hUbgt
          +a5S2XyJj9JjOiGCb17j08MawOagWUMoMKEQnQHFexvooJKKlSxwfdTvhaRjsOq5zidJMU5d
          u97+1MNYrgaUcW+4RUkHBkehgugSZdGol0lcrTXOjKd4XjzPrrreEivhYxwsaJhQxZtf/uUc
          TqaC/PCce11CO6HQVKi2LjMZEZDpWq1OJq0Mu2DvMUMVx6OstiufkgYOSeY1sICRuvr0L2yT
          6RY23vLB+8UI1qIia67CImSqc8CDp5nqJg2irp6ThoEsfm4AlOW7tAjeIiYnekLohfH4Mf3d
          2aII1YVqo1oHgNWMH+CKrsiJkosO5v8bwbQIH1gE5p9k6UY4U+aepq8DO/InBqtczWe/rnl4
          afQV0TD3iIFXwdhMLdPGsx38bkxXmT7pqxmsNyTB8+0aehESl7LLZyQ9kAMMdzvAFUGqLHjX
          jINKuPV8dHVlpCh5jz/OVuPmmQ1fo3A5HdxBtDcLbmxlBPbWrig3TMs9m1IChFrgoI84EhRv
          7BRDEpqpvMoHyQSWNHyK/HFPiFat2D8jQCCeyGZ2DJVloFubjnOaOHQ6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+iOwdkSY2/8ZirXZZPJYS4omM5U=</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d7e9sFqOPDnpItzFytttnaVMpuE=</DigestValue>
      </Reference>
      <Reference URI="/word/document.xml?ContentType=application/vnd.openxmlformats-officedocument.wordprocessingml.document.main+xml">
        <DigestMethod Algorithm="http://www.w3.org/2000/09/xmldsig#sha1"/>
        <DigestValue>46NbIbHF9Ms5p5WurYsQfOa8VRI=</DigestValue>
      </Reference>
      <Reference URI="/word/endnotes.xml?ContentType=application/vnd.openxmlformats-officedocument.wordprocessingml.endnotes+xml">
        <DigestMethod Algorithm="http://www.w3.org/2000/09/xmldsig#sha1"/>
        <DigestValue>Yvx61g7gJs25LusK+QdjIjC4oa8=</DigestValue>
      </Reference>
      <Reference URI="/word/fontTable.xml?ContentType=application/vnd.openxmlformats-officedocument.wordprocessingml.fontTable+xml">
        <DigestMethod Algorithm="http://www.w3.org/2000/09/xmldsig#sha1"/>
        <DigestValue>0cigZ/z5HSsBwpuhtxuDdFkxbGk=</DigestValue>
      </Reference>
      <Reference URI="/word/footer1.xml?ContentType=application/vnd.openxmlformats-officedocument.wordprocessingml.footer+xml">
        <DigestMethod Algorithm="http://www.w3.org/2000/09/xmldsig#sha1"/>
        <DigestValue>OcgNJKW4sI70qDwh46X0s495s8k=</DigestValue>
      </Reference>
      <Reference URI="/word/footnotes.xml?ContentType=application/vnd.openxmlformats-officedocument.wordprocessingml.footnotes+xml">
        <DigestMethod Algorithm="http://www.w3.org/2000/09/xmldsig#sha1"/>
        <DigestValue>NrV8xJ8f/hnqbZsTq4wdMW4KOSs=</DigestValue>
      </Reference>
      <Reference URI="/word/header1.xml?ContentType=application/vnd.openxmlformats-officedocument.wordprocessingml.header+xml">
        <DigestMethod Algorithm="http://www.w3.org/2000/09/xmldsig#sha1"/>
        <DigestValue>47P/k1POcgUHYfFGM00SAHj6FAU=</DigestValue>
      </Reference>
      <Reference URI="/word/media/image1.png?ContentType=image/png">
        <DigestMethod Algorithm="http://www.w3.org/2000/09/xmldsig#sha1"/>
        <DigestValue>Ffn0upG9m/nkYgXm1wbBRzqhG84=</DigestValue>
      </Reference>
      <Reference URI="/word/numbering.xml?ContentType=application/vnd.openxmlformats-officedocument.wordprocessingml.numbering+xml">
        <DigestMethod Algorithm="http://www.w3.org/2000/09/xmldsig#sha1"/>
        <DigestValue>Y1IjyOV11KyWiGTU6mQwaEGB4v0=</DigestValue>
      </Reference>
      <Reference URI="/word/settings.xml?ContentType=application/vnd.openxmlformats-officedocument.wordprocessingml.settings+xml">
        <DigestMethod Algorithm="http://www.w3.org/2000/09/xmldsig#sha1"/>
        <DigestValue>SrzJd2oSnws1SMUytTZVNNH/nLw=</DigestValue>
      </Reference>
      <Reference URI="/word/styles.xml?ContentType=application/vnd.openxmlformats-officedocument.wordprocessingml.styles+xml">
        <DigestMethod Algorithm="http://www.w3.org/2000/09/xmldsig#sha1"/>
        <DigestValue>r0d1r7EqbWc5lnqLsvAe0Xd3hBc=</DigestValue>
      </Reference>
      <Reference URI="/word/theme/theme1.xml?ContentType=application/vnd.openxmlformats-officedocument.theme+xml">
        <DigestMethod Algorithm="http://www.w3.org/2000/09/xmldsig#sha1"/>
        <DigestValue>0XJDGeTYXleMjKApVpJ1ovqD7/Q=</DigestValue>
      </Reference>
      <Reference URI="/word/webSettings.xml?ContentType=application/vnd.openxmlformats-officedocument.wordprocessingml.webSettings+xml">
        <DigestMethod Algorithm="http://www.w3.org/2000/09/xmldsig#sha1"/>
        <DigestValue>YWbg0S04RsxTFD97zG2iN1AfsuE=</DigestValue>
      </Reference>
    </Manifest>
    <SignatureProperties>
      <SignatureProperty Id="idSignatureTime" Target="#idPackageSignature">
        <mdssi:SignatureTime>
          <mdssi:Format>YYYY-MM-DDThh:mm:ssTZD</mdssi:Format>
          <mdssi:Value>2016-03-31T12:07:50Z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8413B-BCF0-431D-AE54-B15154B9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5385</Words>
  <Characters>29082</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mbalves</dc:creator>
  <cp:lastModifiedBy>helbert.silva</cp:lastModifiedBy>
  <cp:revision>2</cp:revision>
  <dcterms:created xsi:type="dcterms:W3CDTF">2016-05-31T14:32:00Z</dcterms:created>
  <dcterms:modified xsi:type="dcterms:W3CDTF">2016-05-31T14:33:00Z</dcterms:modified>
</cp:coreProperties>
</file>