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497" w:rsidRPr="004B2497" w:rsidRDefault="004B2497" w:rsidP="004B2497">
      <w:pPr>
        <w:spacing w:after="0" w:line="240" w:lineRule="auto"/>
        <w:jc w:val="both"/>
        <w:rPr>
          <w:rFonts w:ascii="Garamond" w:eastAsia="Times New Roman" w:hAnsi="Garamond" w:cs="Tahoma"/>
          <w:color w:val="000000"/>
          <w:sz w:val="24"/>
          <w:szCs w:val="24"/>
          <w:lang w:eastAsia="pt-BR"/>
        </w:rPr>
      </w:pPr>
      <w:r w:rsidRPr="004B2497">
        <w:rPr>
          <w:rFonts w:ascii="Garamond" w:eastAsia="Times New Roman" w:hAnsi="Garamond" w:cs="Tahoma"/>
          <w:color w:val="000000"/>
          <w:sz w:val="24"/>
          <w:szCs w:val="24"/>
          <w:lang w:eastAsia="pt-BR"/>
        </w:rPr>
        <w:t>RE 956475/RJ*</w:t>
      </w:r>
    </w:p>
    <w:p w:rsidR="004B2497" w:rsidRPr="004B2497" w:rsidRDefault="004B2497" w:rsidP="004B2497">
      <w:pPr>
        <w:spacing w:after="0" w:line="240" w:lineRule="auto"/>
        <w:jc w:val="both"/>
        <w:rPr>
          <w:rFonts w:ascii="Garamond" w:eastAsia="Times New Roman" w:hAnsi="Garamond" w:cs="Tahoma"/>
          <w:color w:val="000000"/>
          <w:sz w:val="24"/>
          <w:szCs w:val="24"/>
          <w:lang w:eastAsia="pt-BR"/>
        </w:rPr>
      </w:pPr>
      <w:r w:rsidRPr="004B2497">
        <w:rPr>
          <w:rFonts w:ascii="Garamond" w:eastAsia="Times New Roman" w:hAnsi="Garamond" w:cs="Tahoma"/>
          <w:b/>
          <w:bCs/>
          <w:color w:val="000000"/>
          <w:sz w:val="24"/>
          <w:szCs w:val="24"/>
          <w:lang w:eastAsia="pt-BR"/>
        </w:rPr>
        <w:t>RELATOR: Ministro Celso de Mello</w:t>
      </w:r>
    </w:p>
    <w:p w:rsidR="004B2497" w:rsidRDefault="004B2497" w:rsidP="004B2497">
      <w:pPr>
        <w:spacing w:after="107" w:line="240" w:lineRule="auto"/>
        <w:jc w:val="both"/>
        <w:rPr>
          <w:rFonts w:ascii="Garamond" w:eastAsia="Times New Roman" w:hAnsi="Garamond" w:cs="Tahoma"/>
          <w:color w:val="000000"/>
          <w:sz w:val="24"/>
          <w:szCs w:val="24"/>
          <w:lang w:eastAsia="pt-BR"/>
        </w:rPr>
      </w:pPr>
    </w:p>
    <w:p w:rsidR="004B2497" w:rsidRDefault="004B2497" w:rsidP="004B2497">
      <w:pPr>
        <w:spacing w:after="107" w:line="240" w:lineRule="auto"/>
        <w:jc w:val="both"/>
        <w:rPr>
          <w:rFonts w:ascii="Garamond" w:eastAsia="Times New Roman" w:hAnsi="Garamond" w:cs="Tahoma"/>
          <w:color w:val="000000"/>
          <w:sz w:val="24"/>
          <w:szCs w:val="24"/>
          <w:lang w:eastAsia="pt-BR"/>
        </w:rPr>
      </w:pPr>
      <w:r w:rsidRPr="004B2497">
        <w:rPr>
          <w:rFonts w:ascii="Garamond" w:eastAsia="Times New Roman" w:hAnsi="Garamond" w:cs="Tahoma"/>
          <w:color w:val="000000"/>
          <w:sz w:val="24"/>
          <w:szCs w:val="24"/>
          <w:lang w:eastAsia="pt-BR"/>
        </w:rPr>
        <w:t>EMENTA: CRIANÇA DE ATÉ CINCO ANOS DE IDADE. ATENDIMENTO EM CRECHE MUNICIPAL. EDUCAÇÃO INFANTIL. DIREITO ASSEGURADO PELO PRÓPRIO TEXTO CONSTITUCIONAL (CF, ART. 208, IV, NA REDAÇÃO DADA PELA EC Nº 53/2006). COMPREENSÃO GLOBAL DO DIREITO CONSTITUCIONAL À EDUCAÇÃO. DEVER JURÍDICO CUJA EXECUÇÃO SE IMPÕE AO PODER PÚBLICO, NOTADAMENTE AO MUNICÍPIO (CF, ART. 211, § 2º). O PAPEL DO PODER JUDICIÁRIO NA IMPLEMENTAÇÃO DE POLÍTICAS PÚBLICAS PREVISTAS NA CONSTITUIÇÃO E NÃO EFETIVADAS PELO PODER PÚBLICO. A FÓRMULA DA RESERVA DO POSSÍVEL NA PERSPECTIVA DA TEORIA DOS CUSTOS DOS DIREITOS: IMPOSSIBILIDADE DE SUA INVOCAÇÃO PARA LEGITIMAR O INJUSTO INADIMPLEMENTO DE DEVERES ESTATAIS DE PRESTAÇÃO CONSTITUCIONALMENTE IMPOSTOS AO PODER PÚBLICO. RECURSO EXTRAORDINÁRIO PROVIDO.</w:t>
      </w:r>
    </w:p>
    <w:p w:rsidR="004B2497" w:rsidRDefault="004B2497" w:rsidP="004B2497">
      <w:pPr>
        <w:spacing w:after="107" w:line="240" w:lineRule="auto"/>
        <w:jc w:val="both"/>
        <w:rPr>
          <w:rFonts w:ascii="Garamond" w:eastAsia="Times New Roman" w:hAnsi="Garamond" w:cs="Tahoma"/>
          <w:color w:val="000000"/>
          <w:sz w:val="24"/>
          <w:szCs w:val="24"/>
          <w:lang w:eastAsia="pt-BR"/>
        </w:rPr>
      </w:pPr>
      <w:r w:rsidRPr="004B2497">
        <w:rPr>
          <w:rFonts w:ascii="Garamond" w:eastAsia="Times New Roman" w:hAnsi="Garamond" w:cs="Tahoma"/>
          <w:color w:val="000000"/>
          <w:sz w:val="24"/>
          <w:szCs w:val="24"/>
          <w:lang w:eastAsia="pt-BR"/>
        </w:rPr>
        <w:t>– A educação infantil representa prerrogativa constitucional indisponível, que, deferida às crianças, a estas assegura, para efeito de seu desenvolvimento integral, e como primeira etapa do processo de educação básica, o atendimento em creche e, também, o acesso à pré-escola (CF, art. 208, IV).</w:t>
      </w:r>
    </w:p>
    <w:p w:rsidR="004B2497" w:rsidRDefault="004B2497" w:rsidP="004B2497">
      <w:pPr>
        <w:spacing w:after="107" w:line="240" w:lineRule="auto"/>
        <w:jc w:val="both"/>
        <w:rPr>
          <w:rFonts w:ascii="Garamond" w:eastAsia="Times New Roman" w:hAnsi="Garamond" w:cs="Tahoma"/>
          <w:color w:val="000000"/>
          <w:sz w:val="24"/>
          <w:szCs w:val="24"/>
          <w:lang w:eastAsia="pt-BR"/>
        </w:rPr>
      </w:pPr>
      <w:r w:rsidRPr="004B2497">
        <w:rPr>
          <w:rFonts w:ascii="Garamond" w:eastAsia="Times New Roman" w:hAnsi="Garamond" w:cs="Tahoma"/>
          <w:color w:val="000000"/>
          <w:sz w:val="24"/>
          <w:szCs w:val="24"/>
          <w:lang w:eastAsia="pt-BR"/>
        </w:rPr>
        <w:t>– Essa prerrogativa jurídica, em consequência, impõe, ao Estado, por efeito da alta significação social de que se reveste a educação infantil, a obrigação constitucional de criar condições objetivas que possibilitem, de maneira concreta, em favor das “crianças até 5 (cinco) anos de idade” (CF, art. 208, IV), o efetivo acesso e atendimento em creches e unidades de pré-escola, sob pena de configurar-se inaceitável omissão governamental, apta a frustrar, injustamente, por inércia, o integral adimplemento, pelo Poder Público, de prestação estatal que lhe impôs o próprio texto da Constituição Federal.</w:t>
      </w:r>
    </w:p>
    <w:p w:rsidR="004B2497" w:rsidRDefault="004B2497" w:rsidP="004B2497">
      <w:pPr>
        <w:spacing w:after="107" w:line="240" w:lineRule="auto"/>
        <w:jc w:val="both"/>
        <w:rPr>
          <w:rFonts w:ascii="Garamond" w:eastAsia="Times New Roman" w:hAnsi="Garamond" w:cs="Tahoma"/>
          <w:color w:val="000000"/>
          <w:sz w:val="24"/>
          <w:szCs w:val="24"/>
          <w:lang w:eastAsia="pt-BR"/>
        </w:rPr>
      </w:pPr>
      <w:r w:rsidRPr="004B2497">
        <w:rPr>
          <w:rFonts w:ascii="Garamond" w:eastAsia="Times New Roman" w:hAnsi="Garamond" w:cs="Tahoma"/>
          <w:color w:val="000000"/>
          <w:sz w:val="24"/>
          <w:szCs w:val="24"/>
          <w:lang w:eastAsia="pt-BR"/>
        </w:rPr>
        <w:t>– A educação infantil, por qualificar-se como direito fundamental de toda criança, não se expõe, em seu processo de concretização, a avaliações meramente discricionárias da Administração Pública, nem se subordina a razões de puro pragmatismo governamental.</w:t>
      </w:r>
    </w:p>
    <w:p w:rsidR="004B2497" w:rsidRDefault="004B2497" w:rsidP="004B2497">
      <w:pPr>
        <w:spacing w:after="107" w:line="240" w:lineRule="auto"/>
        <w:jc w:val="both"/>
        <w:rPr>
          <w:rFonts w:ascii="Garamond" w:eastAsia="Times New Roman" w:hAnsi="Garamond" w:cs="Tahoma"/>
          <w:color w:val="000000"/>
          <w:sz w:val="24"/>
          <w:szCs w:val="24"/>
          <w:lang w:eastAsia="pt-BR"/>
        </w:rPr>
      </w:pPr>
      <w:r w:rsidRPr="004B2497">
        <w:rPr>
          <w:rFonts w:ascii="Garamond" w:eastAsia="Times New Roman" w:hAnsi="Garamond" w:cs="Tahoma"/>
          <w:color w:val="000000"/>
          <w:sz w:val="24"/>
          <w:szCs w:val="24"/>
          <w:lang w:eastAsia="pt-BR"/>
        </w:rPr>
        <w:t>– Os Municípios – que atuarão, prioritariamente, no ensino fundamental e na educação infantil (CF, art. 211, § 2º) – não poderão demitir-se do mandato constitucional, juridicamente vinculante, que lhes foi outorgado pelo art. 208, IV, da Lei Fundamental da República, e que representa fator de limitação da discricionariedade político-administrativa dos entes municipais, cujas opções, tratando-se do atendimento das crianças em creche (CF, art. 208, IV), não podem ser exercidas de modo a comprometer, com apoio em juízo de simples conveniência ou de mera oportunidade, a eficácia desse direito básico de índole social.</w:t>
      </w:r>
      <w:r>
        <w:rPr>
          <w:rFonts w:ascii="Garamond" w:eastAsia="Times New Roman" w:hAnsi="Garamond" w:cs="Tahoma"/>
          <w:color w:val="000000"/>
          <w:sz w:val="24"/>
          <w:szCs w:val="24"/>
          <w:lang w:eastAsia="pt-BR"/>
        </w:rPr>
        <w:t xml:space="preserve"> </w:t>
      </w:r>
    </w:p>
    <w:p w:rsidR="004B2497" w:rsidRDefault="004B2497" w:rsidP="004B2497">
      <w:pPr>
        <w:spacing w:after="107" w:line="240" w:lineRule="auto"/>
        <w:jc w:val="both"/>
        <w:rPr>
          <w:rFonts w:ascii="Garamond" w:eastAsia="Times New Roman" w:hAnsi="Garamond" w:cs="Tahoma"/>
          <w:color w:val="000000"/>
          <w:sz w:val="24"/>
          <w:szCs w:val="24"/>
          <w:lang w:eastAsia="pt-BR"/>
        </w:rPr>
      </w:pPr>
      <w:r w:rsidRPr="004B2497">
        <w:rPr>
          <w:rFonts w:ascii="Garamond" w:eastAsia="Times New Roman" w:hAnsi="Garamond" w:cs="Tahoma"/>
          <w:color w:val="000000"/>
          <w:sz w:val="24"/>
          <w:szCs w:val="24"/>
          <w:lang w:eastAsia="pt-BR"/>
        </w:rPr>
        <w:lastRenderedPageBreak/>
        <w:t>– Embora inquestionável que resida, primariamente, nos Poderes Legislativo e Executivo, a prerrogativa de formular e de executar políticas públicas, revela-se possível, no entanto, ao Poder Judiciário, ainda que em bases excepcionais, determinar, especialmente nas hipóteses de políticas públicas definidas pela própria Constituição, sejam estas implementadas, sempre que os órgãos estatais competentes, por descumprirem os encargos político-jurídicos que sobre eles incidem em caráter impositivo, vierem a comprometer, com a sua omissão, a eficácia e a integridade de direitos sociais e culturais impregnados de estatura constitucional. A questão pertinente à “</w:t>
      </w:r>
      <w:r>
        <w:rPr>
          <w:rFonts w:ascii="Garamond" w:eastAsia="Times New Roman" w:hAnsi="Garamond" w:cs="Tahoma"/>
          <w:color w:val="000000"/>
          <w:sz w:val="24"/>
          <w:szCs w:val="24"/>
          <w:lang w:eastAsia="pt-BR"/>
        </w:rPr>
        <w:t>reserva do possível”. Doutrina.</w:t>
      </w:r>
    </w:p>
    <w:p w:rsidR="004B2497" w:rsidRDefault="004B2497" w:rsidP="004B2497">
      <w:pPr>
        <w:spacing w:after="107" w:line="240" w:lineRule="auto"/>
        <w:jc w:val="both"/>
        <w:rPr>
          <w:rFonts w:ascii="Garamond" w:eastAsia="Times New Roman" w:hAnsi="Garamond" w:cs="Tahoma"/>
          <w:color w:val="000000"/>
          <w:sz w:val="24"/>
          <w:szCs w:val="24"/>
          <w:lang w:eastAsia="pt-BR"/>
        </w:rPr>
      </w:pPr>
    </w:p>
    <w:p w:rsidR="004B2497" w:rsidRDefault="004B2497" w:rsidP="004B2497">
      <w:pPr>
        <w:spacing w:after="107" w:line="240" w:lineRule="auto"/>
        <w:jc w:val="both"/>
        <w:rPr>
          <w:rFonts w:ascii="Garamond" w:eastAsia="Times New Roman" w:hAnsi="Garamond" w:cs="Tahoma"/>
          <w:color w:val="000000"/>
          <w:sz w:val="24"/>
          <w:szCs w:val="24"/>
          <w:lang w:eastAsia="pt-BR"/>
        </w:rPr>
      </w:pPr>
      <w:r w:rsidRPr="004B2497">
        <w:rPr>
          <w:rFonts w:ascii="Garamond" w:eastAsia="Times New Roman" w:hAnsi="Garamond" w:cs="Tahoma"/>
          <w:color w:val="000000"/>
          <w:sz w:val="24"/>
          <w:szCs w:val="24"/>
          <w:lang w:eastAsia="pt-BR"/>
        </w:rPr>
        <w:t>DECISÃO: O presente recurso extraordinário foi interposto contra acórdão que, confirmado em sede de embargos de declaração pelo E. Tribunal de Justiça do Estado do Rio d</w:t>
      </w:r>
      <w:r>
        <w:rPr>
          <w:rFonts w:ascii="Garamond" w:eastAsia="Times New Roman" w:hAnsi="Garamond" w:cs="Tahoma"/>
          <w:color w:val="000000"/>
          <w:sz w:val="24"/>
          <w:szCs w:val="24"/>
          <w:lang w:eastAsia="pt-BR"/>
        </w:rPr>
        <w:t xml:space="preserve">e Janeiro, está assim ementado: </w:t>
      </w:r>
    </w:p>
    <w:p w:rsidR="004B2497" w:rsidRDefault="004B2497" w:rsidP="004B2497">
      <w:pPr>
        <w:spacing w:after="107" w:line="240" w:lineRule="auto"/>
        <w:jc w:val="both"/>
        <w:rPr>
          <w:rFonts w:ascii="Garamond" w:eastAsia="Times New Roman" w:hAnsi="Garamond" w:cs="Tahoma"/>
          <w:color w:val="000000"/>
          <w:sz w:val="24"/>
          <w:szCs w:val="24"/>
          <w:lang w:eastAsia="pt-BR"/>
        </w:rPr>
      </w:pPr>
      <w:r w:rsidRPr="004B2497">
        <w:rPr>
          <w:rFonts w:ascii="Garamond" w:eastAsia="Times New Roman" w:hAnsi="Garamond" w:cs="Tahoma"/>
          <w:color w:val="000000"/>
          <w:sz w:val="24"/>
          <w:szCs w:val="24"/>
          <w:lang w:eastAsia="pt-BR"/>
        </w:rPr>
        <w:t>“Constitucional. Administrativo. Mandado de Segurança. Pretensão de matrícula em creche da rede pública municipal. Menor que figura em lista de excedentes. Alegação de ofensa ao regramento constitucional e do Estatuto do Menor. Segurança deferida. Apelação do Município.</w:t>
      </w:r>
      <w:r>
        <w:rPr>
          <w:rFonts w:ascii="Garamond" w:eastAsia="Times New Roman" w:hAnsi="Garamond" w:cs="Tahoma"/>
          <w:color w:val="000000"/>
          <w:sz w:val="24"/>
          <w:szCs w:val="24"/>
          <w:lang w:eastAsia="pt-BR"/>
        </w:rPr>
        <w:t xml:space="preserve"> </w:t>
      </w:r>
    </w:p>
    <w:p w:rsidR="004B2497" w:rsidRDefault="004B2497" w:rsidP="004B2497">
      <w:pPr>
        <w:spacing w:after="107" w:line="240" w:lineRule="auto"/>
        <w:jc w:val="both"/>
        <w:rPr>
          <w:rFonts w:ascii="Garamond" w:eastAsia="Times New Roman" w:hAnsi="Garamond" w:cs="Tahoma"/>
          <w:color w:val="000000"/>
          <w:sz w:val="24"/>
          <w:szCs w:val="24"/>
          <w:lang w:eastAsia="pt-BR"/>
        </w:rPr>
      </w:pPr>
      <w:r w:rsidRPr="004B2497">
        <w:rPr>
          <w:rFonts w:ascii="Garamond" w:eastAsia="Times New Roman" w:hAnsi="Garamond" w:cs="Tahoma"/>
          <w:color w:val="000000"/>
          <w:sz w:val="24"/>
          <w:szCs w:val="24"/>
          <w:lang w:eastAsia="pt-BR"/>
        </w:rPr>
        <w:t>Decadência. Inocorrência. Aplicação do disposto no art. 23 da Lei nº 12.016/2009. Demanda ajuizada quando não ultimado o prazo decadencial de 120 dias contados a partir da ciência da autora quanto à recusa manifestada pelo Município. Prejudicial que se afasta.</w:t>
      </w:r>
    </w:p>
    <w:p w:rsidR="004B2497" w:rsidRDefault="004B2497" w:rsidP="004B2497">
      <w:pPr>
        <w:spacing w:after="107" w:line="240" w:lineRule="auto"/>
        <w:jc w:val="both"/>
        <w:rPr>
          <w:rFonts w:ascii="Garamond" w:eastAsia="Times New Roman" w:hAnsi="Garamond" w:cs="Tahoma"/>
          <w:color w:val="000000"/>
          <w:sz w:val="24"/>
          <w:szCs w:val="24"/>
          <w:lang w:eastAsia="pt-BR"/>
        </w:rPr>
      </w:pPr>
      <w:r w:rsidRPr="004B2497">
        <w:rPr>
          <w:rFonts w:ascii="Garamond" w:eastAsia="Times New Roman" w:hAnsi="Garamond" w:cs="Tahoma"/>
          <w:color w:val="000000"/>
          <w:sz w:val="24"/>
          <w:szCs w:val="24"/>
          <w:lang w:eastAsia="pt-BR"/>
        </w:rPr>
        <w:t>Violação ao princípio da adstrição. Possibilidade de matrícula da menor em estabelecimento próximo ao endereço profissional de sua representante legal. Medida estabelecida em decisão interlocutória que restou irrecorrida. Inexistência de prejuízo ao ente público. Tese que se rejeita.</w:t>
      </w:r>
    </w:p>
    <w:p w:rsidR="004B2497" w:rsidRDefault="004B2497" w:rsidP="004B2497">
      <w:pPr>
        <w:spacing w:after="107" w:line="240" w:lineRule="auto"/>
        <w:jc w:val="both"/>
        <w:rPr>
          <w:rFonts w:ascii="Garamond" w:eastAsia="Times New Roman" w:hAnsi="Garamond" w:cs="Tahoma"/>
          <w:color w:val="000000"/>
          <w:sz w:val="24"/>
          <w:szCs w:val="24"/>
          <w:lang w:eastAsia="pt-BR"/>
        </w:rPr>
      </w:pPr>
      <w:r w:rsidRPr="004B2497">
        <w:rPr>
          <w:rFonts w:ascii="Garamond" w:eastAsia="Times New Roman" w:hAnsi="Garamond" w:cs="Tahoma"/>
          <w:color w:val="000000"/>
          <w:sz w:val="24"/>
          <w:szCs w:val="24"/>
          <w:lang w:eastAsia="pt-BR"/>
        </w:rPr>
        <w:t>Mérito. Creche. Pré-escolas. Opção do legislador constitucional originário, obrigando os entes políticos a adoção destas medidas. Ofensa a direito líquido e certo que se reconhece e se desprestigia. Inteligência dos arts. 205, 208, IV e 211, § 2º, todos da CF/88. Legislação infraconstitucional voltada no mesmo sentido. Art. 4ª do ECA. Precedente do STJ.</w:t>
      </w:r>
      <w:r>
        <w:rPr>
          <w:rFonts w:ascii="Garamond" w:eastAsia="Times New Roman" w:hAnsi="Garamond" w:cs="Tahoma"/>
          <w:color w:val="000000"/>
          <w:sz w:val="24"/>
          <w:szCs w:val="24"/>
          <w:lang w:eastAsia="pt-BR"/>
        </w:rPr>
        <w:t xml:space="preserve"> </w:t>
      </w:r>
    </w:p>
    <w:p w:rsidR="004B2497" w:rsidRDefault="004B2497" w:rsidP="004B2497">
      <w:pPr>
        <w:spacing w:after="107" w:line="240" w:lineRule="auto"/>
        <w:jc w:val="both"/>
        <w:rPr>
          <w:rFonts w:ascii="Garamond" w:eastAsia="Times New Roman" w:hAnsi="Garamond" w:cs="Tahoma"/>
          <w:color w:val="000000"/>
          <w:sz w:val="24"/>
          <w:szCs w:val="24"/>
          <w:lang w:eastAsia="pt-BR"/>
        </w:rPr>
      </w:pPr>
      <w:r w:rsidRPr="004B2497">
        <w:rPr>
          <w:rFonts w:ascii="Garamond" w:eastAsia="Times New Roman" w:hAnsi="Garamond" w:cs="Tahoma"/>
          <w:color w:val="000000"/>
          <w:sz w:val="24"/>
          <w:szCs w:val="24"/>
          <w:lang w:eastAsia="pt-BR"/>
        </w:rPr>
        <w:t>Exercício deste direto, contudo, que deve ser subordinado ao princípio da isonomia. Direito social vindicado que, em seu exercício, não podendo se constituir em privilégio imotivado a uns em detrimento de outros. Obrigação do Município em promover a inclusão dos integrantes da lista de excedentes que precedem a Impetrante que se reconhece como pré-condição indispensável para a efetividade do comando judicial, pena de ofensa a princípio constitucional. Sentença que se modifica, ‘ex officio’, nesta parte.</w:t>
      </w:r>
      <w:r>
        <w:rPr>
          <w:rFonts w:ascii="Garamond" w:eastAsia="Times New Roman" w:hAnsi="Garamond" w:cs="Tahoma"/>
          <w:color w:val="000000"/>
          <w:sz w:val="24"/>
          <w:szCs w:val="24"/>
          <w:lang w:eastAsia="pt-BR"/>
        </w:rPr>
        <w:t xml:space="preserve"> </w:t>
      </w:r>
    </w:p>
    <w:p w:rsidR="004B2497" w:rsidRDefault="004B2497" w:rsidP="004B2497">
      <w:pPr>
        <w:spacing w:after="107" w:line="240" w:lineRule="auto"/>
        <w:jc w:val="both"/>
        <w:rPr>
          <w:rFonts w:ascii="Garamond" w:eastAsia="Times New Roman" w:hAnsi="Garamond" w:cs="Tahoma"/>
          <w:color w:val="000000"/>
          <w:sz w:val="24"/>
          <w:szCs w:val="24"/>
          <w:lang w:eastAsia="pt-BR"/>
        </w:rPr>
      </w:pPr>
      <w:r w:rsidRPr="004B2497">
        <w:rPr>
          <w:rFonts w:ascii="Garamond" w:eastAsia="Times New Roman" w:hAnsi="Garamond" w:cs="Tahoma"/>
          <w:color w:val="000000"/>
          <w:sz w:val="24"/>
          <w:szCs w:val="24"/>
          <w:lang w:eastAsia="pt-BR"/>
        </w:rPr>
        <w:t>Reexame necessário. Isenção ao pagamento das custas processuais que r</w:t>
      </w:r>
      <w:r>
        <w:rPr>
          <w:rFonts w:ascii="Garamond" w:eastAsia="Times New Roman" w:hAnsi="Garamond" w:cs="Tahoma"/>
          <w:color w:val="000000"/>
          <w:sz w:val="24"/>
          <w:szCs w:val="24"/>
          <w:lang w:eastAsia="pt-BR"/>
        </w:rPr>
        <w:t xml:space="preserve">estou corretamente reconhecida. </w:t>
      </w:r>
    </w:p>
    <w:p w:rsidR="004B2497" w:rsidRDefault="004B2497" w:rsidP="004B2497">
      <w:pPr>
        <w:spacing w:after="107" w:line="240" w:lineRule="auto"/>
        <w:jc w:val="both"/>
        <w:rPr>
          <w:rFonts w:ascii="Garamond" w:eastAsia="Times New Roman" w:hAnsi="Garamond" w:cs="Tahoma"/>
          <w:color w:val="000000"/>
          <w:sz w:val="24"/>
          <w:szCs w:val="24"/>
          <w:lang w:eastAsia="pt-BR"/>
        </w:rPr>
      </w:pPr>
      <w:r w:rsidRPr="004B2497">
        <w:rPr>
          <w:rFonts w:ascii="Garamond" w:eastAsia="Times New Roman" w:hAnsi="Garamond" w:cs="Tahoma"/>
          <w:color w:val="000000"/>
          <w:sz w:val="24"/>
          <w:szCs w:val="24"/>
          <w:lang w:eastAsia="pt-BR"/>
        </w:rPr>
        <w:lastRenderedPageBreak/>
        <w:t>Taxa judiciária. Inteligência da Súmula nº 145 desta E. Corte. Ausência de condenação ao pagamento de honorários advocatícios. Inteligência da Súmula nº 512 do E. STF.</w:t>
      </w:r>
      <w:r>
        <w:rPr>
          <w:rFonts w:ascii="Garamond" w:eastAsia="Times New Roman" w:hAnsi="Garamond" w:cs="Tahoma"/>
          <w:color w:val="000000"/>
          <w:sz w:val="24"/>
          <w:szCs w:val="24"/>
          <w:lang w:eastAsia="pt-BR"/>
        </w:rPr>
        <w:t xml:space="preserve"> </w:t>
      </w:r>
    </w:p>
    <w:p w:rsidR="004B2497" w:rsidRDefault="004B2497" w:rsidP="004B2497">
      <w:pPr>
        <w:spacing w:after="107" w:line="240" w:lineRule="auto"/>
        <w:jc w:val="both"/>
        <w:rPr>
          <w:rFonts w:ascii="Garamond" w:eastAsia="Times New Roman" w:hAnsi="Garamond" w:cs="Tahoma"/>
          <w:color w:val="000000"/>
          <w:sz w:val="24"/>
          <w:szCs w:val="24"/>
          <w:lang w:eastAsia="pt-BR"/>
        </w:rPr>
      </w:pPr>
      <w:r w:rsidRPr="004B2497">
        <w:rPr>
          <w:rFonts w:ascii="Garamond" w:eastAsia="Times New Roman" w:hAnsi="Garamond" w:cs="Tahoma"/>
          <w:color w:val="000000"/>
          <w:sz w:val="24"/>
          <w:szCs w:val="24"/>
          <w:lang w:eastAsia="pt-BR"/>
        </w:rPr>
        <w:t>Apelo voluntário que se rejeita. Sentença modificada, parcialmente, de ofício. Manutenção do restante da mesma em sede de reexame necessário.” (grifei)</w:t>
      </w:r>
    </w:p>
    <w:p w:rsidR="004B2497" w:rsidRDefault="004B2497" w:rsidP="004B2497">
      <w:pPr>
        <w:spacing w:after="107" w:line="240" w:lineRule="auto"/>
        <w:jc w:val="both"/>
        <w:rPr>
          <w:rFonts w:ascii="Garamond" w:eastAsia="Times New Roman" w:hAnsi="Garamond" w:cs="Tahoma"/>
          <w:color w:val="000000"/>
          <w:sz w:val="24"/>
          <w:szCs w:val="24"/>
          <w:lang w:eastAsia="pt-BR"/>
        </w:rPr>
      </w:pPr>
      <w:r w:rsidRPr="004B2497">
        <w:rPr>
          <w:rFonts w:ascii="Garamond" w:eastAsia="Times New Roman" w:hAnsi="Garamond" w:cs="Tahoma"/>
          <w:color w:val="000000"/>
          <w:sz w:val="24"/>
          <w:szCs w:val="24"/>
          <w:lang w:eastAsia="pt-BR"/>
        </w:rPr>
        <w:t>A recorrente – que é menor absolutamente incapaz, ora representada por sua mãe – sustenta que o acórdão impugnado teria transgredido os preceitos inscritos nos arts. 205, 208, IV, 211, § 2ª e 227, todos da Constituição da República.</w:t>
      </w:r>
      <w:r>
        <w:rPr>
          <w:rFonts w:ascii="Garamond" w:eastAsia="Times New Roman" w:hAnsi="Garamond" w:cs="Tahoma"/>
          <w:color w:val="000000"/>
          <w:sz w:val="24"/>
          <w:szCs w:val="24"/>
          <w:lang w:eastAsia="pt-BR"/>
        </w:rPr>
        <w:t xml:space="preserve"> </w:t>
      </w:r>
    </w:p>
    <w:p w:rsidR="004B2497" w:rsidRDefault="004B2497" w:rsidP="004B2497">
      <w:pPr>
        <w:spacing w:after="107" w:line="240" w:lineRule="auto"/>
        <w:jc w:val="both"/>
        <w:rPr>
          <w:rFonts w:ascii="Garamond" w:eastAsia="Times New Roman" w:hAnsi="Garamond" w:cs="Tahoma"/>
          <w:color w:val="000000"/>
          <w:sz w:val="24"/>
          <w:szCs w:val="24"/>
          <w:lang w:eastAsia="pt-BR"/>
        </w:rPr>
      </w:pPr>
      <w:r w:rsidRPr="004B2497">
        <w:rPr>
          <w:rFonts w:ascii="Garamond" w:eastAsia="Times New Roman" w:hAnsi="Garamond" w:cs="Tahoma"/>
          <w:color w:val="000000"/>
          <w:sz w:val="24"/>
          <w:szCs w:val="24"/>
          <w:lang w:eastAsia="pt-BR"/>
        </w:rPr>
        <w:t>O exame desta causa convence-me da inteira correção dos fundamentos, que informam e dão consistência ao recurso extraordinário em questão.</w:t>
      </w:r>
      <w:r>
        <w:rPr>
          <w:rFonts w:ascii="Garamond" w:eastAsia="Times New Roman" w:hAnsi="Garamond" w:cs="Tahoma"/>
          <w:color w:val="000000"/>
          <w:sz w:val="24"/>
          <w:szCs w:val="24"/>
          <w:lang w:eastAsia="pt-BR"/>
        </w:rPr>
        <w:t xml:space="preserve"> </w:t>
      </w:r>
    </w:p>
    <w:p w:rsidR="004B2497" w:rsidRDefault="004B2497" w:rsidP="004B2497">
      <w:pPr>
        <w:spacing w:after="107" w:line="240" w:lineRule="auto"/>
        <w:jc w:val="both"/>
        <w:rPr>
          <w:rFonts w:ascii="Garamond" w:eastAsia="Times New Roman" w:hAnsi="Garamond" w:cs="Tahoma"/>
          <w:color w:val="000000"/>
          <w:sz w:val="24"/>
          <w:szCs w:val="24"/>
          <w:lang w:eastAsia="pt-BR"/>
        </w:rPr>
      </w:pPr>
      <w:r w:rsidRPr="004B2497">
        <w:rPr>
          <w:rFonts w:ascii="Garamond" w:eastAsia="Times New Roman" w:hAnsi="Garamond" w:cs="Tahoma"/>
          <w:color w:val="000000"/>
          <w:sz w:val="24"/>
          <w:szCs w:val="24"/>
          <w:lang w:eastAsia="pt-BR"/>
        </w:rPr>
        <w:t>É preciso assinalar, neste ponto, por relevante, que o direito à educação – que representa prerrogativa constitucional deferida a todos (CF, art. 205), notadamente às crianças (CF, arts. 208, IV, e 227, “caput”) – qualifica-se como um dos direitos sociais mais expressivos, subsumindo-se à noção dos direitos de segunda geração (ou dimensão) (RTJ 164/158-161), cujo adimplemento impõe ao Poder Público a satisfação de um dever de prestação positiva, consistente num “facere” ou em um “praestare”, pois o Estado dele só se desincumbirá criando condições objetivas que propiciem, aos titulares desse mesmo direito, o acesso pleno ao sistema educacional, inclusive ao atendimento, em creche e pré-escola, “às crianças até 5 (cinco) anos de idade” (CF, art. 208, IV, na redação dada pela EC nº 53/2006).</w:t>
      </w:r>
      <w:r>
        <w:rPr>
          <w:rFonts w:ascii="Garamond" w:eastAsia="Times New Roman" w:hAnsi="Garamond" w:cs="Tahoma"/>
          <w:color w:val="000000"/>
          <w:sz w:val="24"/>
          <w:szCs w:val="24"/>
          <w:lang w:eastAsia="pt-BR"/>
        </w:rPr>
        <w:t xml:space="preserve"> </w:t>
      </w:r>
    </w:p>
    <w:p w:rsidR="004B2497" w:rsidRDefault="004B2497" w:rsidP="004B2497">
      <w:pPr>
        <w:spacing w:after="107" w:line="240" w:lineRule="auto"/>
        <w:jc w:val="both"/>
        <w:rPr>
          <w:rFonts w:ascii="Garamond" w:eastAsia="Times New Roman" w:hAnsi="Garamond" w:cs="Tahoma"/>
          <w:color w:val="000000"/>
          <w:sz w:val="24"/>
          <w:szCs w:val="24"/>
          <w:lang w:eastAsia="pt-BR"/>
        </w:rPr>
      </w:pPr>
      <w:r w:rsidRPr="004B2497">
        <w:rPr>
          <w:rFonts w:ascii="Garamond" w:eastAsia="Times New Roman" w:hAnsi="Garamond" w:cs="Tahoma"/>
          <w:color w:val="000000"/>
          <w:sz w:val="24"/>
          <w:szCs w:val="24"/>
          <w:lang w:eastAsia="pt-BR"/>
        </w:rPr>
        <w:t xml:space="preserve">O eminente e saudoso PINTO FERREIRA (“Educação e Constituinte”, “in” Revista de Informação Legislativa, vol. 92, p. 171/173), ao analisar esse tema, expende, sobre </w:t>
      </w:r>
      <w:r>
        <w:rPr>
          <w:rFonts w:ascii="Garamond" w:eastAsia="Times New Roman" w:hAnsi="Garamond" w:cs="Tahoma"/>
          <w:color w:val="000000"/>
          <w:sz w:val="24"/>
          <w:szCs w:val="24"/>
          <w:lang w:eastAsia="pt-BR"/>
        </w:rPr>
        <w:t>ele, magistério irrepreensível:</w:t>
      </w:r>
    </w:p>
    <w:p w:rsidR="004B2497" w:rsidRDefault="004B2497" w:rsidP="004B2497">
      <w:pPr>
        <w:spacing w:after="107" w:line="240" w:lineRule="auto"/>
        <w:jc w:val="both"/>
        <w:rPr>
          <w:rFonts w:ascii="Garamond" w:eastAsia="Times New Roman" w:hAnsi="Garamond" w:cs="Tahoma"/>
          <w:color w:val="000000"/>
          <w:sz w:val="24"/>
          <w:szCs w:val="24"/>
          <w:lang w:eastAsia="pt-BR"/>
        </w:rPr>
      </w:pPr>
      <w:r>
        <w:rPr>
          <w:rFonts w:ascii="Garamond" w:eastAsia="Times New Roman" w:hAnsi="Garamond" w:cs="Tahoma"/>
          <w:color w:val="000000"/>
          <w:sz w:val="24"/>
          <w:szCs w:val="24"/>
          <w:lang w:eastAsia="pt-BR"/>
        </w:rPr>
        <w:t>“</w:t>
      </w:r>
      <w:r w:rsidRPr="004B2497">
        <w:rPr>
          <w:rFonts w:ascii="Garamond" w:eastAsia="Times New Roman" w:hAnsi="Garamond" w:cs="Tahoma"/>
          <w:color w:val="000000"/>
          <w:sz w:val="24"/>
          <w:szCs w:val="24"/>
          <w:lang w:eastAsia="pt-BR"/>
        </w:rPr>
        <w:t>O Direito à educação surgiu recentemente nos textos constitucionais. Os títulos sobre ordem econômica e social, educação e cultura revelam a tendência das Constituições em favor de um Estado social. Esta clara opção constitucional faz deste ordenamento econômico e cultural um dos mais importantes títulos das novas Constituições, assinalando o advento de um novo modelo de Estado, tendo como valor-fim a justiça social e a cultura, numa democracia pluralista exigida pela sociedade de massas do século XX.” (grifei)</w:t>
      </w:r>
    </w:p>
    <w:p w:rsidR="004B2497" w:rsidRDefault="004B2497" w:rsidP="004B2497">
      <w:pPr>
        <w:spacing w:after="107" w:line="240" w:lineRule="auto"/>
        <w:jc w:val="both"/>
        <w:rPr>
          <w:rFonts w:ascii="Garamond" w:eastAsia="Times New Roman" w:hAnsi="Garamond" w:cs="Tahoma"/>
          <w:color w:val="000000"/>
          <w:sz w:val="24"/>
          <w:szCs w:val="24"/>
          <w:lang w:eastAsia="pt-BR"/>
        </w:rPr>
      </w:pPr>
      <w:r w:rsidRPr="004B2497">
        <w:rPr>
          <w:rFonts w:ascii="Garamond" w:eastAsia="Times New Roman" w:hAnsi="Garamond" w:cs="Tahoma"/>
          <w:color w:val="000000"/>
          <w:sz w:val="24"/>
          <w:szCs w:val="24"/>
          <w:lang w:eastAsia="pt-BR"/>
        </w:rPr>
        <w:t>Para CELSO LAFER (“A Reconstrução dos Direitos Humanos”, p. 127 e 130/131, 1988, Companhia de Letras), que também exterioriza a sua preocupação acadêmica sobre o tema, o direito à educação – que se mostra redutível à noção dos direitos de segunda geração (ou de segunda dimensão) – exprime, de um lado, no plano do sistema jurídico-normativo, a exigência de solidariedade social, e pressupõe, de outro, a asserção de que a dignidade humana, enquanto valor impregnado de centralidade em nosso ordenamento político, só se afirmará com a expansão das liberdades públicas, quaisquer que sejam as dimensões em que estas se projetem:</w:t>
      </w:r>
    </w:p>
    <w:p w:rsidR="004B2497" w:rsidRDefault="004B2497" w:rsidP="004B2497">
      <w:pPr>
        <w:spacing w:after="107" w:line="240" w:lineRule="auto"/>
        <w:jc w:val="both"/>
        <w:rPr>
          <w:rFonts w:ascii="Garamond" w:eastAsia="Times New Roman" w:hAnsi="Garamond" w:cs="Tahoma"/>
          <w:color w:val="000000"/>
          <w:sz w:val="24"/>
          <w:szCs w:val="24"/>
          <w:lang w:eastAsia="pt-BR"/>
        </w:rPr>
      </w:pPr>
      <w:r w:rsidRPr="004B2497">
        <w:rPr>
          <w:rFonts w:ascii="Garamond" w:eastAsia="Times New Roman" w:hAnsi="Garamond" w:cs="Tahoma"/>
          <w:color w:val="000000"/>
          <w:sz w:val="24"/>
          <w:szCs w:val="24"/>
          <w:lang w:eastAsia="pt-BR"/>
        </w:rPr>
        <w:t xml:space="preserve">“(…) É por essa razão que os assim chamados direitos de segunda geração, previstos pelo ‘welfare state’, são direitos de crédito do indivíduo em relação à coletividade. Tais direitos – como o direito ao trabalho, à saúde, à educação – têm como sujeito passivo o Estado porque, na interação entre governantes e governados, foi a </w:t>
      </w:r>
      <w:r w:rsidRPr="004B2497">
        <w:rPr>
          <w:rFonts w:ascii="Garamond" w:eastAsia="Times New Roman" w:hAnsi="Garamond" w:cs="Tahoma"/>
          <w:color w:val="000000"/>
          <w:sz w:val="24"/>
          <w:szCs w:val="24"/>
          <w:lang w:eastAsia="pt-BR"/>
        </w:rPr>
        <w:lastRenderedPageBreak/>
        <w:t>coletividade que assumiu a responsabilidade de atendê-los. O titular desse direito, no entanto, continua sendo, como nos direitos de primeira geração, o homem na sua individualidade. Daí a complementaridade, na perspectiva ‘ex parte populi’, entre os direitos de primeira e de segunda geração, pois estes últimos buscam assegurar as condições para o pleno exercício dos primeiros, eliminando ou atenuando os impedimentos ao pleno uso das capacidades humanas. Por isso, os direitos de crédito, denominados direitos econômico-sociais e culturais, podem ser encarados como direitos que tornam reais direitos formais: procuraram garantir a todos o acesso aos meios de vida e de trabalho n</w:t>
      </w:r>
      <w:r>
        <w:rPr>
          <w:rFonts w:ascii="Garamond" w:eastAsia="Times New Roman" w:hAnsi="Garamond" w:cs="Tahoma"/>
          <w:color w:val="000000"/>
          <w:sz w:val="24"/>
          <w:szCs w:val="24"/>
          <w:lang w:eastAsia="pt-BR"/>
        </w:rPr>
        <w:t>um sentido amplo (…).” (grifei)</w:t>
      </w:r>
    </w:p>
    <w:p w:rsidR="004B2497" w:rsidRDefault="004B2497" w:rsidP="004B2497">
      <w:pPr>
        <w:spacing w:after="107" w:line="240" w:lineRule="auto"/>
        <w:jc w:val="both"/>
        <w:rPr>
          <w:rFonts w:ascii="Garamond" w:eastAsia="Times New Roman" w:hAnsi="Garamond" w:cs="Tahoma"/>
          <w:color w:val="000000"/>
          <w:sz w:val="24"/>
          <w:szCs w:val="24"/>
          <w:lang w:eastAsia="pt-BR"/>
        </w:rPr>
      </w:pPr>
      <w:r w:rsidRPr="004B2497">
        <w:rPr>
          <w:rFonts w:ascii="Garamond" w:eastAsia="Times New Roman" w:hAnsi="Garamond" w:cs="Tahoma"/>
          <w:color w:val="000000"/>
          <w:sz w:val="24"/>
          <w:szCs w:val="24"/>
          <w:lang w:eastAsia="pt-BR"/>
        </w:rPr>
        <w:t>O alto significado social e o irrecusável valor constitucional de que se reveste o direito à educação infantil – ainda mais se considerado em face do dever que incumbe ao Poder Público de torná-lo real, mediante concreta efetivação da garantia de atendimento, em creche e pré-escola, às crianças de até cinco anos de idade (CF, art. 208, IV) – não podem ser menosprezados pelo Estado, “obrigado a proporcionar a concretização da educação infantil em sua área de competência” (WILSON DONIZETI LIBERATI, “Conteúdo Material do Direito à Educação Escolar”, “in” “Direito à Educação: Uma Questão de Justiça”, p. 236/238, item n. 3.5, 2004, Malheiros), sob pena de grave e injusta frustração de um inafastável compromisso constitucional, que tem, no aparelho estatal, o seu precípuo destinatário.</w:t>
      </w:r>
      <w:r w:rsidRPr="004B2497">
        <w:rPr>
          <w:rFonts w:ascii="Garamond" w:eastAsia="Times New Roman" w:hAnsi="Garamond" w:cs="Tahoma"/>
          <w:color w:val="000000"/>
          <w:sz w:val="24"/>
          <w:szCs w:val="24"/>
          <w:lang w:eastAsia="pt-BR"/>
        </w:rPr>
        <w:br/>
        <w:t>Cabe referir, novamente, neste ponto, outra observação de PINTO FERREIRA (“Educação e Constituinte” “in” Revista de Informação Legislativa, vol. 92, p. 171/173), quando adverte – considerada a ilusão que o caráter meramente retórico das proclamações constitucionais muitas vezes encerra – sobre a necessidade de se conferir efetiva concretização a esse direito essencial, cuja eficácia não pode ser comprometid</w:t>
      </w:r>
      <w:r>
        <w:rPr>
          <w:rFonts w:ascii="Garamond" w:eastAsia="Times New Roman" w:hAnsi="Garamond" w:cs="Tahoma"/>
          <w:color w:val="000000"/>
          <w:sz w:val="24"/>
          <w:szCs w:val="24"/>
          <w:lang w:eastAsia="pt-BR"/>
        </w:rPr>
        <w:t>a pela inação do Poder Público:</w:t>
      </w:r>
    </w:p>
    <w:p w:rsidR="004B2497" w:rsidRDefault="004B2497" w:rsidP="004B2497">
      <w:pPr>
        <w:spacing w:after="107" w:line="240" w:lineRule="auto"/>
        <w:jc w:val="both"/>
        <w:rPr>
          <w:rFonts w:ascii="Garamond" w:eastAsia="Times New Roman" w:hAnsi="Garamond" w:cs="Tahoma"/>
          <w:color w:val="000000"/>
          <w:sz w:val="24"/>
          <w:szCs w:val="24"/>
          <w:lang w:eastAsia="pt-BR"/>
        </w:rPr>
      </w:pPr>
      <w:r>
        <w:rPr>
          <w:rFonts w:ascii="Garamond" w:eastAsia="Times New Roman" w:hAnsi="Garamond" w:cs="Tahoma"/>
          <w:color w:val="000000"/>
          <w:sz w:val="24"/>
          <w:szCs w:val="24"/>
          <w:lang w:eastAsia="pt-BR"/>
        </w:rPr>
        <w:t>“</w:t>
      </w:r>
      <w:r w:rsidRPr="004B2497">
        <w:rPr>
          <w:rFonts w:ascii="Garamond" w:eastAsia="Times New Roman" w:hAnsi="Garamond" w:cs="Tahoma"/>
          <w:color w:val="000000"/>
          <w:sz w:val="24"/>
          <w:szCs w:val="24"/>
          <w:lang w:eastAsia="pt-BR"/>
        </w:rPr>
        <w:t xml:space="preserve">O direito à educação necessita ter eficácia. Sendo considerado como um direito público subjetivo do particular, ele consiste na faculdade que tem o particular de exigir do Estado o cumprimento de determinadas prestações. Para que fosse cumprido o direito à educação, seria necessário que ele fosse dotado de eficácia </w:t>
      </w:r>
      <w:r>
        <w:rPr>
          <w:rFonts w:ascii="Garamond" w:eastAsia="Times New Roman" w:hAnsi="Garamond" w:cs="Tahoma"/>
          <w:color w:val="000000"/>
          <w:sz w:val="24"/>
          <w:szCs w:val="24"/>
          <w:lang w:eastAsia="pt-BR"/>
        </w:rPr>
        <w:t>e acionabilidade (…).” (grifei)</w:t>
      </w:r>
    </w:p>
    <w:p w:rsidR="004B2497" w:rsidRDefault="004B2497" w:rsidP="004B2497">
      <w:pPr>
        <w:spacing w:after="107" w:line="240" w:lineRule="auto"/>
        <w:jc w:val="both"/>
        <w:rPr>
          <w:rFonts w:ascii="Garamond" w:eastAsia="Times New Roman" w:hAnsi="Garamond" w:cs="Tahoma"/>
          <w:color w:val="000000"/>
          <w:sz w:val="24"/>
          <w:szCs w:val="24"/>
          <w:lang w:eastAsia="pt-BR"/>
        </w:rPr>
      </w:pPr>
      <w:r w:rsidRPr="004B2497">
        <w:rPr>
          <w:rFonts w:ascii="Garamond" w:eastAsia="Times New Roman" w:hAnsi="Garamond" w:cs="Tahoma"/>
          <w:color w:val="000000"/>
          <w:sz w:val="24"/>
          <w:szCs w:val="24"/>
          <w:lang w:eastAsia="pt-BR"/>
        </w:rPr>
        <w:t>O objetivo perseguido pelo legislador constituinte, em tema de educação infantil, especialmente se reconhecido que a Lei Fundamental da República delineou, nessa matéria, um nítido programa a ser implementado mediante adoção de políticas públicas consequentes e responsáveis – notadamente aquelas que visem a fazer cessar, em favor da infância carente, a injusta situação de exclusão social e de desigual acesso às oportunidades de atendimento em creche e pré-escola –, traduz meta cuja não realização qualificar-se-á como censurável situação de inconstitucionalidade por omissão im</w:t>
      </w:r>
      <w:r>
        <w:rPr>
          <w:rFonts w:ascii="Garamond" w:eastAsia="Times New Roman" w:hAnsi="Garamond" w:cs="Tahoma"/>
          <w:color w:val="000000"/>
          <w:sz w:val="24"/>
          <w:szCs w:val="24"/>
          <w:lang w:eastAsia="pt-BR"/>
        </w:rPr>
        <w:t>putável ao Poder Público.</w:t>
      </w:r>
    </w:p>
    <w:p w:rsidR="004B2497" w:rsidRDefault="004B2497" w:rsidP="004B2497">
      <w:pPr>
        <w:spacing w:after="107" w:line="240" w:lineRule="auto"/>
        <w:jc w:val="both"/>
        <w:rPr>
          <w:rFonts w:ascii="Garamond" w:eastAsia="Times New Roman" w:hAnsi="Garamond" w:cs="Tahoma"/>
          <w:color w:val="000000"/>
          <w:sz w:val="24"/>
          <w:szCs w:val="24"/>
          <w:lang w:eastAsia="pt-BR"/>
        </w:rPr>
      </w:pPr>
      <w:r w:rsidRPr="004B2497">
        <w:rPr>
          <w:rFonts w:ascii="Garamond" w:eastAsia="Times New Roman" w:hAnsi="Garamond" w:cs="Tahoma"/>
          <w:color w:val="000000"/>
          <w:sz w:val="24"/>
          <w:szCs w:val="24"/>
          <w:lang w:eastAsia="pt-BR"/>
        </w:rPr>
        <w:t>Ao julgar a ADPF 45/DF, Rel. Min. CELSO DE MELLO, proferi decisão assim ementada</w:t>
      </w:r>
      <w:r>
        <w:rPr>
          <w:rFonts w:ascii="Garamond" w:eastAsia="Times New Roman" w:hAnsi="Garamond" w:cs="Tahoma"/>
          <w:color w:val="000000"/>
          <w:sz w:val="24"/>
          <w:szCs w:val="24"/>
          <w:lang w:eastAsia="pt-BR"/>
        </w:rPr>
        <w:t xml:space="preserve"> (Informativo/STF nº 345/2004): </w:t>
      </w:r>
    </w:p>
    <w:p w:rsidR="004B2497" w:rsidRDefault="004B2497" w:rsidP="004B2497">
      <w:pPr>
        <w:spacing w:after="107" w:line="240" w:lineRule="auto"/>
        <w:jc w:val="both"/>
        <w:rPr>
          <w:rFonts w:ascii="Garamond" w:eastAsia="Times New Roman" w:hAnsi="Garamond" w:cs="Tahoma"/>
          <w:color w:val="000000"/>
          <w:sz w:val="24"/>
          <w:szCs w:val="24"/>
          <w:lang w:eastAsia="pt-BR"/>
        </w:rPr>
      </w:pPr>
      <w:r w:rsidRPr="004B2497">
        <w:rPr>
          <w:rFonts w:ascii="Garamond" w:eastAsia="Times New Roman" w:hAnsi="Garamond" w:cs="Tahoma"/>
          <w:color w:val="000000"/>
          <w:sz w:val="24"/>
          <w:szCs w:val="24"/>
          <w:lang w:eastAsia="pt-BR"/>
        </w:rPr>
        <w:t xml:space="preserve">“ARGÜIÇÃO DE DESCUMPRIMENTO DE PRECEITO FUNDAMENTAL. A QUESTÃO DA LEGITIMIDADE CONSTITUCIONAL DO CONTROLE E DA INTERVENÇÃO DO PODER JUDICIÁRIO EM TEMA DE </w:t>
      </w:r>
      <w:r w:rsidRPr="004B2497">
        <w:rPr>
          <w:rFonts w:ascii="Garamond" w:eastAsia="Times New Roman" w:hAnsi="Garamond" w:cs="Tahoma"/>
          <w:color w:val="000000"/>
          <w:sz w:val="24"/>
          <w:szCs w:val="24"/>
          <w:lang w:eastAsia="pt-BR"/>
        </w:rPr>
        <w:lastRenderedPageBreak/>
        <w:t>IMPLEMENTAÇÃO DE POLÍTICAS PÚBLICAS, QUANDO CONFIGURADA HIPÓTESE DE ABUSIVIDADE GOVERNAMENTAL. DIMENSÃO POLÍTICA DA JURISDIÇÃO CONSTITUCIONAL ATRIBUÍDA AO SUPREMO TRIBUNAL FEDERAL. INOPONIBILIDADE DO ARBÍTRIO ESTATAL À EFETIVAÇÃO DOS DIREITOS SOCIAIS, ECONÔMICOS E CULTURAIS. CARÁTER RELATIVO DA LIBERDADE DE CONFORMAÇÃO DO LEGISLADOR. CONSIDERAÇÕES EM TORNO DA CLÁUSULA DA ‘RESERVA DO POSSÍVEL’. NECESSIDADE DE PRESERVAÇÃO, EM FAVOR DOS INDIVÍDUOS, DA INTEGRIDADE E DA INTANGIBILIDADE DO NÚCLEO CONSUBSTANCIADOR DO ‘MÍNIMO EXISTENCIAL’. VIABILIDADE INSTRUMENTAL DA ARGÜIÇÃO DE DESCUMPRIMENTO NO PROCESSO DE CONCRETIZAÇÃO DAS LIBERDADES POSITIVAS (DIREITOS CONSTITUCIONAIS DE SEGUNDA GERAÇÃO).”</w:t>
      </w:r>
    </w:p>
    <w:p w:rsidR="004B2497" w:rsidRDefault="004B2497" w:rsidP="004B2497">
      <w:pPr>
        <w:spacing w:after="107" w:line="240" w:lineRule="auto"/>
        <w:jc w:val="both"/>
        <w:rPr>
          <w:rFonts w:ascii="Garamond" w:eastAsia="Times New Roman" w:hAnsi="Garamond" w:cs="Tahoma"/>
          <w:color w:val="000000"/>
          <w:sz w:val="24"/>
          <w:szCs w:val="24"/>
          <w:lang w:eastAsia="pt-BR"/>
        </w:rPr>
      </w:pPr>
      <w:r w:rsidRPr="004B2497">
        <w:rPr>
          <w:rFonts w:ascii="Garamond" w:eastAsia="Times New Roman" w:hAnsi="Garamond" w:cs="Tahoma"/>
          <w:color w:val="000000"/>
          <w:sz w:val="24"/>
          <w:szCs w:val="24"/>
          <w:lang w:eastAsia="pt-BR"/>
        </w:rPr>
        <w:t>Salientei, então, em tal decisão, que o Supremo Tribunal Federal, considerada a dimensão política da jurisdição constitucional outorgada a esta Corte, não pode demitir-se do gravíssimo encargo de tornar efetivos os direitos econômicos, sociais e culturais, que se identificam – enquanto direitos de segunda geração (como o direito à educação, p. ex.) – com as liberdades positivas, reais ou concretas (RTJ 164/158-161, Rel. Min. CELSO DE MELLO).</w:t>
      </w:r>
    </w:p>
    <w:p w:rsidR="004B2497" w:rsidRDefault="004B2497" w:rsidP="004B2497">
      <w:pPr>
        <w:spacing w:after="107" w:line="240" w:lineRule="auto"/>
        <w:jc w:val="both"/>
        <w:rPr>
          <w:rFonts w:ascii="Garamond" w:eastAsia="Times New Roman" w:hAnsi="Garamond" w:cs="Tahoma"/>
          <w:color w:val="000000"/>
          <w:sz w:val="24"/>
          <w:szCs w:val="24"/>
          <w:lang w:eastAsia="pt-BR"/>
        </w:rPr>
      </w:pPr>
      <w:r w:rsidRPr="004B2497">
        <w:rPr>
          <w:rFonts w:ascii="Garamond" w:eastAsia="Times New Roman" w:hAnsi="Garamond" w:cs="Tahoma"/>
          <w:color w:val="000000"/>
          <w:sz w:val="24"/>
          <w:szCs w:val="24"/>
          <w:lang w:eastAsia="pt-BR"/>
        </w:rPr>
        <w:t>É que, se assim não for, restarão comprometidas a integridade e a eficácia da própria Constituição, por efeito de violação negativa do estatuto constitucional motivada por inaceitável inércia governamental no adimplemento de prestações positivas impostas ao Poder Público, consoante já advertiu, em tema de inconstitucionalidade por omissão, por mais de uma vez (RTJ 75/1212-1213, Rel. Min. CELSO DE MELLO), o Supremo Tribunal Federal:</w:t>
      </w:r>
    </w:p>
    <w:p w:rsidR="004B2497" w:rsidRDefault="004B2497" w:rsidP="004B2497">
      <w:pPr>
        <w:spacing w:after="107" w:line="240" w:lineRule="auto"/>
        <w:jc w:val="both"/>
        <w:rPr>
          <w:rFonts w:ascii="Garamond" w:eastAsia="Times New Roman" w:hAnsi="Garamond" w:cs="Tahoma"/>
          <w:color w:val="000000"/>
          <w:sz w:val="24"/>
          <w:szCs w:val="24"/>
          <w:lang w:eastAsia="pt-BR"/>
        </w:rPr>
      </w:pPr>
      <w:r w:rsidRPr="004B2497">
        <w:rPr>
          <w:rFonts w:ascii="Garamond" w:eastAsia="Times New Roman" w:hAnsi="Garamond" w:cs="Tahoma"/>
          <w:color w:val="000000"/>
          <w:sz w:val="24"/>
          <w:szCs w:val="24"/>
          <w:lang w:eastAsia="pt-BR"/>
        </w:rPr>
        <w:t>“DESRESPEITO À CONSTITUIÇÃO - MODALIDADES DE COMPORTAMENTOS INCONSTITUCIONAIS DO PODER PÚBLICO.</w:t>
      </w:r>
    </w:p>
    <w:p w:rsidR="004B2497" w:rsidRDefault="004B2497" w:rsidP="004B2497">
      <w:pPr>
        <w:spacing w:after="107" w:line="240" w:lineRule="auto"/>
        <w:jc w:val="both"/>
        <w:rPr>
          <w:rFonts w:ascii="Garamond" w:eastAsia="Times New Roman" w:hAnsi="Garamond" w:cs="Tahoma"/>
          <w:color w:val="000000"/>
          <w:sz w:val="24"/>
          <w:szCs w:val="24"/>
          <w:lang w:eastAsia="pt-BR"/>
        </w:rPr>
      </w:pPr>
      <w:r w:rsidRPr="004B2497">
        <w:rPr>
          <w:rFonts w:ascii="Garamond" w:eastAsia="Times New Roman" w:hAnsi="Garamond" w:cs="Tahoma"/>
          <w:color w:val="000000"/>
          <w:sz w:val="24"/>
          <w:szCs w:val="24"/>
          <w:lang w:eastAsia="pt-BR"/>
        </w:rPr>
        <w:t>– O desrespeito à Constituição tanto pode ocorrer mediante ação estatal quanto mediante inércia governamental. A situação de inconstitucionalidade pode derivar de um comportamento ativo do Poder Público, que age ou edita normas em desacordo com o que dispõe a Constituição, ofendendo-lhe, assim, os preceitos e os princípios que nela se acham consignados. Essa conduta estatal, que importa em um ‘facere’ (atuação positiva), gera a inconstitucionalidade por ação.</w:t>
      </w:r>
    </w:p>
    <w:p w:rsidR="004B2497" w:rsidRDefault="004B2497" w:rsidP="004B2497">
      <w:pPr>
        <w:spacing w:after="107" w:line="240" w:lineRule="auto"/>
        <w:jc w:val="both"/>
        <w:rPr>
          <w:rFonts w:ascii="Garamond" w:eastAsia="Times New Roman" w:hAnsi="Garamond" w:cs="Tahoma"/>
          <w:color w:val="000000"/>
          <w:sz w:val="24"/>
          <w:szCs w:val="24"/>
          <w:lang w:eastAsia="pt-BR"/>
        </w:rPr>
      </w:pPr>
      <w:r w:rsidRPr="004B2497">
        <w:rPr>
          <w:rFonts w:ascii="Garamond" w:eastAsia="Times New Roman" w:hAnsi="Garamond" w:cs="Tahoma"/>
          <w:color w:val="000000"/>
          <w:sz w:val="24"/>
          <w:szCs w:val="24"/>
          <w:lang w:eastAsia="pt-BR"/>
        </w:rPr>
        <w:t>– Se o Estado deixar de adotar as medidas necessárias à realização concreta dos preceitos da Constituição, em ordem a torná-los efetivos, operantes e exeqüíveis, abstendo-se, em conseqüência, de cumprir o dever de prestação que a Constituição lhe impôs, incidirá em violação negativa do texto constitucional. Desse ‘non facere’ ou ‘non praestare’, resultará a inconstitucionalidade por omissão, que pode ser total, quando é nenhuma a providência adotada, ou parcial, quando é insuficiente a medida efetivada pelo Poder Público.</w:t>
      </w:r>
    </w:p>
    <w:p w:rsidR="004B2497" w:rsidRDefault="004B2497" w:rsidP="004B2497">
      <w:pPr>
        <w:spacing w:after="107" w:line="240" w:lineRule="auto"/>
        <w:jc w:val="both"/>
        <w:rPr>
          <w:rFonts w:ascii="Garamond" w:eastAsia="Times New Roman" w:hAnsi="Garamond" w:cs="Tahoma"/>
          <w:color w:val="000000"/>
          <w:sz w:val="24"/>
          <w:szCs w:val="24"/>
          <w:lang w:eastAsia="pt-BR"/>
        </w:rPr>
      </w:pPr>
      <w:r w:rsidRPr="004B2497">
        <w:rPr>
          <w:rFonts w:ascii="Garamond" w:eastAsia="Times New Roman" w:hAnsi="Garamond" w:cs="Tahoma"/>
          <w:color w:val="000000"/>
          <w:sz w:val="24"/>
          <w:szCs w:val="24"/>
          <w:lang w:eastAsia="pt-BR"/>
        </w:rPr>
        <w:t xml:space="preserve">– A omissão do Estado – que deixa de cumprir, em maior ou em menor extensão, a imposição ditada pelo texto constitucional – qualifica-se como comportamento </w:t>
      </w:r>
      <w:r w:rsidRPr="004B2497">
        <w:rPr>
          <w:rFonts w:ascii="Garamond" w:eastAsia="Times New Roman" w:hAnsi="Garamond" w:cs="Tahoma"/>
          <w:color w:val="000000"/>
          <w:sz w:val="24"/>
          <w:szCs w:val="24"/>
          <w:lang w:eastAsia="pt-BR"/>
        </w:rPr>
        <w:lastRenderedPageBreak/>
        <w:t>revestido da maior gravidade político-jurídica, eis que, mediante inércia, o Poder Público também desrespeita a Constituição, também ofende direitos que nela se fundam e também impede, por ausência de medidas concretizadoras, a própria aplicabilidade dos postulados e princípios da Lei Fundamental.”</w:t>
      </w:r>
    </w:p>
    <w:p w:rsidR="004B2497" w:rsidRDefault="004B2497" w:rsidP="004B2497">
      <w:pPr>
        <w:spacing w:after="107" w:line="240" w:lineRule="auto"/>
        <w:jc w:val="both"/>
        <w:rPr>
          <w:rFonts w:ascii="Garamond" w:eastAsia="Times New Roman" w:hAnsi="Garamond" w:cs="Tahoma"/>
          <w:color w:val="000000"/>
          <w:sz w:val="24"/>
          <w:szCs w:val="24"/>
          <w:lang w:eastAsia="pt-BR"/>
        </w:rPr>
      </w:pPr>
      <w:r w:rsidRPr="004B2497">
        <w:rPr>
          <w:rFonts w:ascii="Garamond" w:eastAsia="Times New Roman" w:hAnsi="Garamond" w:cs="Tahoma"/>
          <w:color w:val="000000"/>
          <w:sz w:val="24"/>
          <w:szCs w:val="24"/>
          <w:lang w:eastAsia="pt-BR"/>
        </w:rPr>
        <w:t>(RTJ 185/794-796, Rel. Min. CELSO DE MELLO, Pleno)</w:t>
      </w:r>
      <w:r>
        <w:rPr>
          <w:rFonts w:ascii="Garamond" w:eastAsia="Times New Roman" w:hAnsi="Garamond" w:cs="Tahoma"/>
          <w:color w:val="000000"/>
          <w:sz w:val="24"/>
          <w:szCs w:val="24"/>
          <w:lang w:eastAsia="pt-BR"/>
        </w:rPr>
        <w:t xml:space="preserve"> </w:t>
      </w:r>
    </w:p>
    <w:p w:rsidR="004B2497" w:rsidRDefault="004B2497" w:rsidP="004B2497">
      <w:pPr>
        <w:spacing w:after="107" w:line="240" w:lineRule="auto"/>
        <w:jc w:val="both"/>
        <w:rPr>
          <w:rFonts w:ascii="Garamond" w:eastAsia="Times New Roman" w:hAnsi="Garamond" w:cs="Tahoma"/>
          <w:color w:val="000000"/>
          <w:sz w:val="24"/>
          <w:szCs w:val="24"/>
          <w:lang w:eastAsia="pt-BR"/>
        </w:rPr>
      </w:pPr>
      <w:r w:rsidRPr="004B2497">
        <w:rPr>
          <w:rFonts w:ascii="Garamond" w:eastAsia="Times New Roman" w:hAnsi="Garamond" w:cs="Tahoma"/>
          <w:color w:val="000000"/>
          <w:sz w:val="24"/>
          <w:szCs w:val="24"/>
          <w:lang w:eastAsia="pt-BR"/>
        </w:rPr>
        <w:t>É certo – tal como observei no exame da ADPF 45/DF, Rel. Min. CELSO DE MELLO (Informativo/STF nº 345/2004) – que não se inclui, ordinariamente, no âmbito das funções institucionais do Poder Judiciário – e nas desta Suprema Corte, em especial – a atribuição de formular e de implementar políticas públicas (JOSÉ CARLOS VIEIRA DE ANDRADE, “Os Direitos Fundamentais na Constituição Portuguesa de 1976”, p. 207, item n. 05, 1987, Almedina, Coimbra), pois, nesse domínio, o encargo reside, primariamente, nos Poderes Legislativo e Executivo.</w:t>
      </w:r>
      <w:r>
        <w:rPr>
          <w:rFonts w:ascii="Garamond" w:eastAsia="Times New Roman" w:hAnsi="Garamond" w:cs="Tahoma"/>
          <w:color w:val="000000"/>
          <w:sz w:val="24"/>
          <w:szCs w:val="24"/>
          <w:lang w:eastAsia="pt-BR"/>
        </w:rPr>
        <w:t xml:space="preserve"> </w:t>
      </w:r>
      <w:r w:rsidRPr="004B2497">
        <w:rPr>
          <w:rFonts w:ascii="Garamond" w:eastAsia="Times New Roman" w:hAnsi="Garamond" w:cs="Tahoma"/>
          <w:color w:val="000000"/>
          <w:sz w:val="24"/>
          <w:szCs w:val="24"/>
          <w:lang w:eastAsia="pt-BR"/>
        </w:rPr>
        <w:t>Impende assinalar, contudo, que tal incumbência poderá atribuir-se, embora excepcionalmente, ao Poder Judiciário, se e quando os órgãos estatais competentes, por descumprirem os encargos político-jurídicos que sobre eles incidem em caráter impositivo, vierem a comprometer, com tal comportamento, a eficácia e a integridade de direitos individuais e/ou coletivos impregnados de estatura constitucional, como sucede na espécie ora em exame.</w:t>
      </w:r>
    </w:p>
    <w:p w:rsidR="004B2497" w:rsidRDefault="004B2497" w:rsidP="004B2497">
      <w:pPr>
        <w:spacing w:after="107" w:line="240" w:lineRule="auto"/>
        <w:jc w:val="both"/>
        <w:rPr>
          <w:rFonts w:ascii="Garamond" w:eastAsia="Times New Roman" w:hAnsi="Garamond" w:cs="Tahoma"/>
          <w:color w:val="000000"/>
          <w:sz w:val="24"/>
          <w:szCs w:val="24"/>
          <w:lang w:eastAsia="pt-BR"/>
        </w:rPr>
      </w:pPr>
      <w:r w:rsidRPr="004B2497">
        <w:rPr>
          <w:rFonts w:ascii="Garamond" w:eastAsia="Times New Roman" w:hAnsi="Garamond" w:cs="Tahoma"/>
          <w:color w:val="000000"/>
          <w:sz w:val="24"/>
          <w:szCs w:val="24"/>
          <w:lang w:eastAsia="pt-BR"/>
        </w:rPr>
        <w:t>Não deixo de conferir, no entanto, assentadas tais premissas, significativo relevo ao tema pertinente à “reserva do possível” (LUÍS FERNANDO SGARBOSSA, “Crítica à Teoria dos Custos dos Direitos”, vol. 1, 2010, Fabris Editor; STEPHEN HOLMES/CASS R. SUNSTEIN, “The Cost of Rights”, 1999, Norton, New York; ANA PAULA DE BARCELLOS, “A Eficácia Jurídica dos Princípios Constitucionais”, p. 245/246, 2002, Renovar; FLÁVIO GALDINO, “Introdução à Teoria dos Custos dos Direitos”, p. 190/198, itens ns. 9.5 e 9.6, e p. 345/347, item n. 15.3, 2005, Lumen Juris), notadamente em sede de efetivação e implementação (usualmente onerosas) de determinados direitos cujo adimplemento, pelo Poder Público, impõe-lhe e dele exige prestações estatais positivas concretizadoras de tais prerrogativas individuais e/ou coletivas.</w:t>
      </w:r>
    </w:p>
    <w:p w:rsidR="004B2497" w:rsidRDefault="004B2497" w:rsidP="004B2497">
      <w:pPr>
        <w:spacing w:after="107" w:line="240" w:lineRule="auto"/>
        <w:jc w:val="both"/>
        <w:rPr>
          <w:rFonts w:ascii="Garamond" w:eastAsia="Times New Roman" w:hAnsi="Garamond" w:cs="Tahoma"/>
          <w:color w:val="000000"/>
          <w:sz w:val="24"/>
          <w:szCs w:val="24"/>
          <w:lang w:eastAsia="pt-BR"/>
        </w:rPr>
      </w:pPr>
      <w:r w:rsidRPr="004B2497">
        <w:rPr>
          <w:rFonts w:ascii="Garamond" w:eastAsia="Times New Roman" w:hAnsi="Garamond" w:cs="Tahoma"/>
          <w:color w:val="000000"/>
          <w:sz w:val="24"/>
          <w:szCs w:val="24"/>
          <w:lang w:eastAsia="pt-BR"/>
        </w:rPr>
        <w:t>Não se ignora que a realização dos direitos econômicos, sociais e culturais – além de caracterizar-se pela gradualidade de seu processo de concretização – depende, em grande medida, de um inescapável vínculo financeiro subordinado às possibilidades orçamentárias do Estado, de tal modo que, comprovada, objetivamente, a alegação de incapacidade econômico-financeira da pessoa estatal, desta não se poderá razoavelmente exigir, então, considerada a limitação material referida, a imediata efetivação do comando fundado no texto da Carta Política.</w:t>
      </w:r>
    </w:p>
    <w:p w:rsidR="004B2497" w:rsidRDefault="004B2497" w:rsidP="004B2497">
      <w:pPr>
        <w:spacing w:after="107" w:line="240" w:lineRule="auto"/>
        <w:jc w:val="both"/>
        <w:rPr>
          <w:rFonts w:ascii="Garamond" w:eastAsia="Times New Roman" w:hAnsi="Garamond" w:cs="Tahoma"/>
          <w:color w:val="000000"/>
          <w:sz w:val="24"/>
          <w:szCs w:val="24"/>
          <w:lang w:eastAsia="pt-BR"/>
        </w:rPr>
      </w:pPr>
      <w:r w:rsidRPr="004B2497">
        <w:rPr>
          <w:rFonts w:ascii="Garamond" w:eastAsia="Times New Roman" w:hAnsi="Garamond" w:cs="Tahoma"/>
          <w:color w:val="000000"/>
          <w:sz w:val="24"/>
          <w:szCs w:val="24"/>
          <w:lang w:eastAsia="pt-BR"/>
        </w:rPr>
        <w:t>Não se mostrará lícito, contudo, ao Poder Público, em tal hipótese, criar obstáculo artificial que revele – a partir de indevida manipulação de sua atividade financeira e/ou político-administrativa – o ilegítimo, arbitrário e censurável propósito de fraudar, de frustrar e de inviabilizar o estabelecimento e a preservação, em favor da pessoa e dos cidadãos, de condições materiais mínimas de existência (ADPF 45/DF, Rel. Min. CELSO DE MELLO, Informativo/STF nº 345/2004).</w:t>
      </w:r>
    </w:p>
    <w:p w:rsidR="004B2497" w:rsidRDefault="004B2497" w:rsidP="004B2497">
      <w:pPr>
        <w:spacing w:after="107" w:line="240" w:lineRule="auto"/>
        <w:jc w:val="both"/>
        <w:rPr>
          <w:rFonts w:ascii="Garamond" w:eastAsia="Times New Roman" w:hAnsi="Garamond" w:cs="Tahoma"/>
          <w:color w:val="000000"/>
          <w:sz w:val="24"/>
          <w:szCs w:val="24"/>
          <w:lang w:eastAsia="pt-BR"/>
        </w:rPr>
      </w:pPr>
      <w:r w:rsidRPr="004B2497">
        <w:rPr>
          <w:rFonts w:ascii="Garamond" w:eastAsia="Times New Roman" w:hAnsi="Garamond" w:cs="Tahoma"/>
          <w:color w:val="000000"/>
          <w:sz w:val="24"/>
          <w:szCs w:val="24"/>
          <w:lang w:eastAsia="pt-BR"/>
        </w:rPr>
        <w:lastRenderedPageBreak/>
        <w:t>Cumpre advertir, desse modo, que a cláusula da “reserva do possível” – ressalvada a ocorrência de justo motivo objetivamente aferível – não pode ser invocada, pelo Estado, com a finalidade de exonerar-se, dolosamente, do cumprimento de suas obrigações constitucionais, notadamente quando dessa conduta governamental negativa puder resultar nulificação ou, até mesmo, aniquilação de direitos constitucionais impregnados de um sentido de essencial fundamentalidade.</w:t>
      </w:r>
    </w:p>
    <w:p w:rsidR="004B2497" w:rsidRDefault="004B2497" w:rsidP="004B2497">
      <w:pPr>
        <w:spacing w:after="107" w:line="240" w:lineRule="auto"/>
        <w:jc w:val="both"/>
        <w:rPr>
          <w:rFonts w:ascii="Garamond" w:eastAsia="Times New Roman" w:hAnsi="Garamond" w:cs="Tahoma"/>
          <w:color w:val="000000"/>
          <w:sz w:val="24"/>
          <w:szCs w:val="24"/>
          <w:lang w:eastAsia="pt-BR"/>
        </w:rPr>
      </w:pPr>
      <w:r w:rsidRPr="004B2497">
        <w:rPr>
          <w:rFonts w:ascii="Garamond" w:eastAsia="Times New Roman" w:hAnsi="Garamond" w:cs="Tahoma"/>
          <w:color w:val="000000"/>
          <w:sz w:val="24"/>
          <w:szCs w:val="24"/>
          <w:lang w:eastAsia="pt-BR"/>
        </w:rPr>
        <w:t>Daí a correta observação de REGINA MARIA FONSECA MUNIZ (“O Direito à Educação”, p. 92, item n. 3, 2002, Renovar), cuja abordagem do tema – após qualificar a educação como um dos direitos fundamentais da pessoa humana – põe em destaque a imprescindibilidade de sua implementação, em ordem a promover o bem-estar social e a melhoria da qualidade de vida de todos, notadamente das classes menos favorecidas, assinalando, com particular ênfase, a propósito de obstáculos governamentais que possam ser eventualmente opostos ao adimplemento dessa obrigação constitucional, que “o Estado não pode se furtar de tal dever sob alegação de inviabilidade econômica ou de falta de normas de regulamentação” (grifei).</w:t>
      </w:r>
    </w:p>
    <w:p w:rsidR="004B2497" w:rsidRDefault="004B2497" w:rsidP="004B2497">
      <w:pPr>
        <w:spacing w:after="107" w:line="240" w:lineRule="auto"/>
        <w:jc w:val="both"/>
        <w:rPr>
          <w:rFonts w:ascii="Garamond" w:eastAsia="Times New Roman" w:hAnsi="Garamond" w:cs="Tahoma"/>
          <w:color w:val="000000"/>
          <w:sz w:val="24"/>
          <w:szCs w:val="24"/>
          <w:lang w:eastAsia="pt-BR"/>
        </w:rPr>
      </w:pPr>
      <w:r w:rsidRPr="004B2497">
        <w:rPr>
          <w:rFonts w:ascii="Garamond" w:eastAsia="Times New Roman" w:hAnsi="Garamond" w:cs="Tahoma"/>
          <w:color w:val="000000"/>
          <w:sz w:val="24"/>
          <w:szCs w:val="24"/>
          <w:lang w:eastAsia="pt-BR"/>
        </w:rPr>
        <w:t>Tratando-se de típico direito de prestação positiva, que se subsume ao conceito de liberdade real ou concreta, a educação infantil – que compreende todas as prerrogativas, individuais ou coletivas, referidas na Constituição da República (notadamente em seu art. 208, IV) – tem por fundamento regra constitucional cuja densidade normativa não permite que, em torno da efetiva realização de tal comando, o Poder Público, especialmente o Município (CF, art. 211, § 2º), disponha de um amplo espaço de discricionariedade que lhe enseje maior grau de liberdade de conformação, e de cujo exercício possa resultar, paradoxalmente, com base em simples alegação de mera conveniência e/ou oportunidade, a nulificação mesma dessa prerrogativa essencial, como adverte, em ponderadas reflexões, a ilustre magistrada MARIA CRISTINA DE BRITO LIMA, em obra monográfica dedicada ao tema ora em exame (“A Educação como Direito Fu</w:t>
      </w:r>
      <w:r>
        <w:rPr>
          <w:rFonts w:ascii="Garamond" w:eastAsia="Times New Roman" w:hAnsi="Garamond" w:cs="Tahoma"/>
          <w:color w:val="000000"/>
          <w:sz w:val="24"/>
          <w:szCs w:val="24"/>
          <w:lang w:eastAsia="pt-BR"/>
        </w:rPr>
        <w:t>ndamental”, 2003, Lumen Juris).</w:t>
      </w:r>
    </w:p>
    <w:p w:rsidR="004B2497" w:rsidRDefault="004B2497" w:rsidP="004B2497">
      <w:pPr>
        <w:spacing w:after="107" w:line="240" w:lineRule="auto"/>
        <w:jc w:val="both"/>
        <w:rPr>
          <w:rFonts w:ascii="Garamond" w:eastAsia="Times New Roman" w:hAnsi="Garamond" w:cs="Tahoma"/>
          <w:color w:val="000000"/>
          <w:sz w:val="24"/>
          <w:szCs w:val="24"/>
          <w:lang w:eastAsia="pt-BR"/>
        </w:rPr>
      </w:pPr>
      <w:r w:rsidRPr="004B2497">
        <w:rPr>
          <w:rFonts w:ascii="Garamond" w:eastAsia="Times New Roman" w:hAnsi="Garamond" w:cs="Tahoma"/>
          <w:color w:val="000000"/>
          <w:sz w:val="24"/>
          <w:szCs w:val="24"/>
          <w:lang w:eastAsia="pt-BR"/>
        </w:rPr>
        <w:t>Cabe referir, ainda, neste ponto, ante a extrema pertinência de suas observações, a advertência de LUIZA CRISTINA FONSECA FRISCHEISEN, ilustre Subprocuradora Geral da República (“Políticas Públicas – A Responsabilidade do Administrador e o Ministério Público”, p. 59, 95 e 97, 2000, Max Limonad), cujo magistério, a propósito da limitada discricionariedade governamental em tema de concretização das políticas públicas constitucionais, assinala:</w:t>
      </w:r>
    </w:p>
    <w:p w:rsidR="004B2497" w:rsidRDefault="004B2497" w:rsidP="004B2497">
      <w:pPr>
        <w:spacing w:after="107" w:line="240" w:lineRule="auto"/>
        <w:jc w:val="both"/>
        <w:rPr>
          <w:rFonts w:ascii="Garamond" w:eastAsia="Times New Roman" w:hAnsi="Garamond" w:cs="Tahoma"/>
          <w:color w:val="000000"/>
          <w:sz w:val="24"/>
          <w:szCs w:val="24"/>
          <w:lang w:eastAsia="pt-BR"/>
        </w:rPr>
      </w:pPr>
      <w:r w:rsidRPr="004B2497">
        <w:rPr>
          <w:rFonts w:ascii="Garamond" w:eastAsia="Times New Roman" w:hAnsi="Garamond" w:cs="Tahoma"/>
          <w:color w:val="000000"/>
          <w:sz w:val="24"/>
          <w:szCs w:val="24"/>
          <w:lang w:eastAsia="pt-BR"/>
        </w:rPr>
        <w:t>“Nesse contexto constitucional, que implica também na renovação das práticas políticas, o administrador está vinculado às políticas públicas estabelecidas na Constituição Federal; a sua omissão é passível de responsabilização e a sua margem de discricionariedade é mínima, não contemplando o não fazer.</w:t>
      </w:r>
    </w:p>
    <w:p w:rsidR="00A826C3" w:rsidRDefault="004B2497" w:rsidP="004B2497">
      <w:pPr>
        <w:spacing w:after="107" w:line="240" w:lineRule="auto"/>
        <w:jc w:val="both"/>
        <w:rPr>
          <w:rFonts w:ascii="Garamond" w:eastAsia="Times New Roman" w:hAnsi="Garamond" w:cs="Tahoma"/>
          <w:color w:val="000000"/>
          <w:sz w:val="24"/>
          <w:szCs w:val="24"/>
          <w:lang w:eastAsia="pt-BR"/>
        </w:rPr>
      </w:pPr>
      <w:r w:rsidRPr="004B2497">
        <w:rPr>
          <w:rFonts w:ascii="Garamond" w:eastAsia="Times New Roman" w:hAnsi="Garamond" w:cs="Tahoma"/>
          <w:color w:val="000000"/>
          <w:sz w:val="24"/>
          <w:szCs w:val="24"/>
          <w:lang w:eastAsia="pt-BR"/>
        </w:rPr>
        <w:t xml:space="preserve">Como demonstrado no item anterior, o administrador público está vinculado à Constituição e às normas infraconstitucionais para a implementação das políticas públicas relativas à ordem social constitucional, ou seja, própria à finalidade da mesma: </w:t>
      </w:r>
      <w:r w:rsidR="00A826C3">
        <w:rPr>
          <w:rFonts w:ascii="Garamond" w:eastAsia="Times New Roman" w:hAnsi="Garamond" w:cs="Tahoma"/>
          <w:color w:val="000000"/>
          <w:sz w:val="24"/>
          <w:szCs w:val="24"/>
          <w:lang w:eastAsia="pt-BR"/>
        </w:rPr>
        <w:t>o bem-estar e a justiça social.</w:t>
      </w:r>
    </w:p>
    <w:p w:rsidR="00A826C3" w:rsidRDefault="004B2497" w:rsidP="004B2497">
      <w:pPr>
        <w:spacing w:after="107" w:line="240" w:lineRule="auto"/>
        <w:jc w:val="both"/>
        <w:rPr>
          <w:rFonts w:ascii="Garamond" w:eastAsia="Times New Roman" w:hAnsi="Garamond" w:cs="Tahoma"/>
          <w:color w:val="000000"/>
          <w:sz w:val="24"/>
          <w:szCs w:val="24"/>
          <w:lang w:eastAsia="pt-BR"/>
        </w:rPr>
      </w:pPr>
      <w:r w:rsidRPr="004B2497">
        <w:rPr>
          <w:rFonts w:ascii="Garamond" w:eastAsia="Times New Roman" w:hAnsi="Garamond" w:cs="Tahoma"/>
          <w:color w:val="000000"/>
          <w:sz w:val="24"/>
          <w:szCs w:val="24"/>
          <w:lang w:eastAsia="pt-BR"/>
        </w:rPr>
        <w:lastRenderedPageBreak/>
        <w:t>Conclui-se, portanto, que o administrador não tem discricionariedade para deliberar sobre a oportunidade e conveniência de implementação de políticas públicas discriminadas na ordem social constitucional, pois tal restou deliberado pelo Constituinte e pelo legislador que el</w:t>
      </w:r>
      <w:r w:rsidR="00A826C3">
        <w:rPr>
          <w:rFonts w:ascii="Garamond" w:eastAsia="Times New Roman" w:hAnsi="Garamond" w:cs="Tahoma"/>
          <w:color w:val="000000"/>
          <w:sz w:val="24"/>
          <w:szCs w:val="24"/>
          <w:lang w:eastAsia="pt-BR"/>
        </w:rPr>
        <w:t>aborou as normas de integração.</w:t>
      </w:r>
    </w:p>
    <w:p w:rsidR="00A826C3" w:rsidRDefault="004B2497" w:rsidP="004B2497">
      <w:pPr>
        <w:spacing w:after="107" w:line="240" w:lineRule="auto"/>
        <w:jc w:val="both"/>
        <w:rPr>
          <w:rFonts w:ascii="Garamond" w:eastAsia="Times New Roman" w:hAnsi="Garamond" w:cs="Tahoma"/>
          <w:color w:val="000000"/>
          <w:sz w:val="24"/>
          <w:szCs w:val="24"/>
          <w:lang w:eastAsia="pt-BR"/>
        </w:rPr>
      </w:pPr>
      <w:r w:rsidRPr="004B2497">
        <w:rPr>
          <w:rFonts w:ascii="Garamond" w:eastAsia="Times New Roman" w:hAnsi="Garamond" w:cs="Tahoma"/>
          <w:color w:val="000000"/>
          <w:sz w:val="24"/>
          <w:szCs w:val="24"/>
          <w:lang w:eastAsia="pt-BR"/>
        </w:rPr>
        <w:t>As dúvidas sobre essa margem de discricionariedade devem ser dirimidas pelo Judiciário, cabendo ao Juiz dar sentido concreto à norma e controlar a legitimidade do ato administrativo (omissivo ou comissivo), verificando se o mesmo não contraria sua finalidade constitucional, no caso, a concretização da ordem social constitucional.” (grifei)</w:t>
      </w:r>
    </w:p>
    <w:p w:rsidR="00A826C3" w:rsidRDefault="004B2497" w:rsidP="004B2497">
      <w:pPr>
        <w:spacing w:after="107" w:line="240" w:lineRule="auto"/>
        <w:jc w:val="both"/>
        <w:rPr>
          <w:rFonts w:ascii="Garamond" w:eastAsia="Times New Roman" w:hAnsi="Garamond" w:cs="Tahoma"/>
          <w:color w:val="000000"/>
          <w:sz w:val="24"/>
          <w:szCs w:val="24"/>
          <w:lang w:eastAsia="pt-BR"/>
        </w:rPr>
      </w:pPr>
      <w:r w:rsidRPr="004B2497">
        <w:rPr>
          <w:rFonts w:ascii="Garamond" w:eastAsia="Times New Roman" w:hAnsi="Garamond" w:cs="Tahoma"/>
          <w:color w:val="000000"/>
          <w:sz w:val="24"/>
          <w:szCs w:val="24"/>
          <w:lang w:eastAsia="pt-BR"/>
        </w:rPr>
        <w:t>Tenho para mim, desse modo, presente tal contexto, que os Municípios – que atuarão prioritariamente no ensino fundamental e na educação infantil (CF, art. 211, § 2º) – não poderão demitir-se do mandato constitucional, juridicamente vinculante, que lhes foi outorgado pelo art. 208, IV, da Constituição, e que representa fator de limitação da discricionariedade político-administrativa dos entes municipais, cujas opções, tratando-se de atendimento das crianças em creche e na pré-escola (CF, art. 208, IV), não podem ser exercidas de modo a comprometer, com apoio em juízo de simples conveniência ou de mera oportunidade, a eficácia desse direito básico de índole social.</w:t>
      </w:r>
    </w:p>
    <w:p w:rsidR="00A826C3" w:rsidRDefault="004B2497" w:rsidP="004B2497">
      <w:pPr>
        <w:spacing w:after="107" w:line="240" w:lineRule="auto"/>
        <w:jc w:val="both"/>
        <w:rPr>
          <w:rFonts w:ascii="Garamond" w:eastAsia="Times New Roman" w:hAnsi="Garamond" w:cs="Tahoma"/>
          <w:color w:val="000000"/>
          <w:sz w:val="24"/>
          <w:szCs w:val="24"/>
          <w:lang w:eastAsia="pt-BR"/>
        </w:rPr>
      </w:pPr>
      <w:r w:rsidRPr="004B2497">
        <w:rPr>
          <w:rFonts w:ascii="Garamond" w:eastAsia="Times New Roman" w:hAnsi="Garamond" w:cs="Tahoma"/>
          <w:color w:val="000000"/>
          <w:sz w:val="24"/>
          <w:szCs w:val="24"/>
          <w:lang w:eastAsia="pt-BR"/>
        </w:rPr>
        <w:t>As razões ora expostas convencem-me, portanto, da inteira procedência da pretensão recursal deduzida pela recorrente, seja em face das considerações que expendeu no recurso extraordinário, seja, ainda, em virtude dos próprios fundamentos que dão suporte a diversas decisões sobre o tema em análise, já proferidas no âmbito desta Suprema Corte (AI 455.802/SP, Rel. Min. MARCO AURÉLIO – AI 475.571/SP, Rel. Min. MARCO AURÉLIO – ARE 698.258/SP, Rel. Min. TEORI ZAVASCKI – RE 401.673/SP, Rel. Min. MARCO AURÉLIO – RE 410.715-AgR/SP, Rel. Min. CELSO DE MELLO – RE 411.518/SP, Rel. Min. MARCO AURÉLIO – RE 436.996/SP, Rel. Min. CELSO DE MELLO – RE 463.210-AgR/SP, Rel. Min. CARLOS VELLOSO – RE 464.143-AgR/SP, Rel. Min. ELLEN GRACIE – RE 592.937-AgR/SC, Rel. Min. CEZAR PELUSO – RE 909.986/DF, Rel. Min. CÁRMEN LÚCIA – RE 919.489/DF, Rel. Min. CÁRMEN LÚCIA, v.g.):</w:t>
      </w:r>
    </w:p>
    <w:p w:rsidR="00A826C3" w:rsidRDefault="004B2497" w:rsidP="004B2497">
      <w:pPr>
        <w:spacing w:after="107" w:line="240" w:lineRule="auto"/>
        <w:jc w:val="both"/>
        <w:rPr>
          <w:rFonts w:ascii="Garamond" w:eastAsia="Times New Roman" w:hAnsi="Garamond" w:cs="Tahoma"/>
          <w:color w:val="000000"/>
          <w:sz w:val="24"/>
          <w:szCs w:val="24"/>
          <w:lang w:eastAsia="pt-BR"/>
        </w:rPr>
      </w:pPr>
      <w:r w:rsidRPr="004B2497">
        <w:rPr>
          <w:rFonts w:ascii="Garamond" w:eastAsia="Times New Roman" w:hAnsi="Garamond" w:cs="Tahoma"/>
          <w:color w:val="000000"/>
          <w:sz w:val="24"/>
          <w:szCs w:val="24"/>
          <w:lang w:eastAsia="pt-BR"/>
        </w:rPr>
        <w:t xml:space="preserve">“CRIANÇA DE ATÉ CINCO ANOS DE IDADE – ATENDIMENTO EM CRECHE E EM PRÉ-ESCOLA – SENTENÇA QUE OBRIGA O MUNICÍPIO DE SÃO PAULO A MATRICULAR CRIANÇAS EM UNIDADES DE ENSINO INFANTIL PRÓXIMAS DE SUA RESIDÊNCIA OU DO ENDEREÇO DE TRABALHO DE SEUS RESPONSÁVEIS LEGAIS, SOB PENA DE MULTA DIÁRIA POR CRIANÇA NÃO ATENDIDA – LEGITIMIDADE JURÍDICA DA UTILIZAÇÃO DAS ‘ASTREINTES’ CONTRA O PODER PÚBLICO – DOUTRINA – JURISPRUDÊNCIA – OBRIGAÇÃO ESTATAL DE RESPEITAR OS DIREITOS DAS CRIANÇAS – EDUCAÇÃO INFANTIL – DIREITO ASSEGURADO PELO PRÓPRIO TEXTO CONSTITUCIONAL (CF, ART. 208, IV, NA REDAÇÃO DADA PELA EC Nº 53/2006) – COMPREENSÃO GLOBAL DO DIREITO CONSTITUCIONAL À EDUCAÇÃO – DEVER JURÍDICO CUJA EXECUÇÃO SE IMPÕE AO PODER PÚBLICO, NOTADAMENTE AO MUNICÍPIO (CF, ART. 211, § 2º) – LEGITIMIDADE CONSTITUCIONAL DA </w:t>
      </w:r>
      <w:r w:rsidRPr="004B2497">
        <w:rPr>
          <w:rFonts w:ascii="Garamond" w:eastAsia="Times New Roman" w:hAnsi="Garamond" w:cs="Tahoma"/>
          <w:color w:val="000000"/>
          <w:sz w:val="24"/>
          <w:szCs w:val="24"/>
          <w:lang w:eastAsia="pt-BR"/>
        </w:rPr>
        <w:lastRenderedPageBreak/>
        <w:t>INTERVENÇÃO DO PODER JUDICIÁRIO EM CASO DE OMISSÃO ESTATAL NA IMPLEMENTAÇÃO DE POLÍTICAS PÚBLICAS PREVISTAS NA CONSTITUIÇÃO – INOCORRÊNCIA DE TRANSGRESSÃO AO POSTULADO DA SEPARAÇÃO DE PODERES – PROTEÇÃO JUDICIAL DE DIREITOS SOCIAIS, ESCASSEZ DE RECURSOS E A QUESTÃO DAS ‘ESCOLHAS TRÁGICAS’ – RESERVA DO POSSÍVEL, MÍNIMO EXISTENCIAL, DIGNIDADE DA PESSOA HUMANA E VEDAÇÃO DO RETROCESSO SOCIAL – PRETENDIDA EXONERAÇÃO DO ENCARGO CONSTITUCIONAL POR EFEITO DE SUPERVENIÊNCIA DE NOVA REALIDADE FÁTICA – QUESTÃO QUE SEQUER FOI SUSCITADA NAS RAZÕES DE RECURSO EXTRAORDINÁRIO – PRINCÍPIO ‘JURA NOVIT CURIA’ – INVOCAÇÃO EM SEDE DE APELO EXTREMO – IMPOSSIBILIDADE – RECURSO DE AGRAVO IMPROVIDO.”</w:t>
      </w:r>
    </w:p>
    <w:p w:rsidR="00A826C3" w:rsidRDefault="004B2497" w:rsidP="004B2497">
      <w:pPr>
        <w:spacing w:after="107" w:line="240" w:lineRule="auto"/>
        <w:jc w:val="both"/>
        <w:rPr>
          <w:rFonts w:ascii="Garamond" w:eastAsia="Times New Roman" w:hAnsi="Garamond" w:cs="Tahoma"/>
          <w:color w:val="000000"/>
          <w:sz w:val="24"/>
          <w:szCs w:val="24"/>
          <w:lang w:eastAsia="pt-BR"/>
        </w:rPr>
      </w:pPr>
      <w:r w:rsidRPr="004B2497">
        <w:rPr>
          <w:rFonts w:ascii="Garamond" w:eastAsia="Times New Roman" w:hAnsi="Garamond" w:cs="Tahoma"/>
          <w:color w:val="000000"/>
          <w:sz w:val="24"/>
          <w:szCs w:val="24"/>
          <w:lang w:eastAsia="pt-BR"/>
        </w:rPr>
        <w:t>(ARE 639.337-AgR/SP, Rel. Min. CELSO DE MELLO)</w:t>
      </w:r>
    </w:p>
    <w:p w:rsidR="00A826C3" w:rsidRDefault="004B2497" w:rsidP="004B2497">
      <w:pPr>
        <w:spacing w:after="107" w:line="240" w:lineRule="auto"/>
        <w:jc w:val="both"/>
        <w:rPr>
          <w:rFonts w:ascii="Garamond" w:eastAsia="Times New Roman" w:hAnsi="Garamond" w:cs="Tahoma"/>
          <w:color w:val="000000"/>
          <w:sz w:val="24"/>
          <w:szCs w:val="24"/>
          <w:lang w:eastAsia="pt-BR"/>
        </w:rPr>
      </w:pPr>
      <w:r w:rsidRPr="004B2497">
        <w:rPr>
          <w:rFonts w:ascii="Garamond" w:eastAsia="Times New Roman" w:hAnsi="Garamond" w:cs="Tahoma"/>
          <w:color w:val="000000"/>
          <w:sz w:val="24"/>
          <w:szCs w:val="24"/>
          <w:lang w:eastAsia="pt-BR"/>
        </w:rPr>
        <w:t>Cumpre destacar, neste ponto, por oportuno, ante a inquestionável procedência de suas observações, a decisão proferida pelo eminente Ministro MARCO AURÉLIO (RE 431.773/SP), no sentido de que, “Conforme preceitua o artigo 208, inciso IV, da Carta Federal, consubstancia dever do Estado a educação, garantindo o atendimento em creche e pré-escola às crianças (…). O Estado – União, Estados propriamente ditos, ou seja, unidades federadas, e Municípios – deve aparelhar-se para a observância irrestrita dos ditames constitucionais, não cabendo tergiversar mediante escusas relacionadas com a deficiência de caixa” (grifei).</w:t>
      </w:r>
    </w:p>
    <w:p w:rsidR="00A826C3" w:rsidRDefault="004B2497" w:rsidP="004B2497">
      <w:pPr>
        <w:spacing w:after="107" w:line="240" w:lineRule="auto"/>
        <w:jc w:val="both"/>
        <w:rPr>
          <w:rFonts w:ascii="Garamond" w:eastAsia="Times New Roman" w:hAnsi="Garamond" w:cs="Tahoma"/>
          <w:color w:val="000000"/>
          <w:sz w:val="24"/>
          <w:szCs w:val="24"/>
          <w:lang w:eastAsia="pt-BR"/>
        </w:rPr>
      </w:pPr>
      <w:r w:rsidRPr="004B2497">
        <w:rPr>
          <w:rFonts w:ascii="Garamond" w:eastAsia="Times New Roman" w:hAnsi="Garamond" w:cs="Tahoma"/>
          <w:color w:val="000000"/>
          <w:sz w:val="24"/>
          <w:szCs w:val="24"/>
          <w:lang w:eastAsia="pt-BR"/>
        </w:rPr>
        <w:t>Isso significa, portanto, considerada a indiscutível primazia reconhecida aos direitos da criança e do adolescente (ANA MARIA MOREIRA MARCHESAN, “O princípio da prioridade absoluta aos direitos da criança e do adolescente e a discricionariedade administrativa”, “in” RT 749/82-103), que a ineficiência administrativa, o descaso governamental com direitos básicos do cidadão, a incapacidade de gerir os recursos públicos, a incompetência na adequada implementação da programação orçamentária em tema de educação pública, a falta de visão política na justa percepção, pelo administrador, do enorme significado social de que se reveste a educação infantil, a inoperância funcional dos gestores públicos na concretização das imposições constitucionais estabelecidas em favor das pessoas carentes não podem nem devem representar obstáculos à execução, pelo Poder Público, notadamente pelo Município (CF, art. 211, § 2º), da norma inscrita no art. 208, IV, da Constituição da República, que traduz e impõe, ao Estado, um dever inafastável, sob pena de a ilegitimidade dessa inaceitável omissão governamental importar em grave vulneração a um direito fundamental da cidadania e que é, no contexto que ora se examina, o direito à educação, cuja amplitude conceitual abrange, na globalidade de seu alcance, o fornecimento de creches públicas e de ensino pré-primário “às crianças até 5 (cinco) anos de idade” (CF, art. 208, IV, na redação dada pela EC nº 53/2006).</w:t>
      </w:r>
    </w:p>
    <w:p w:rsidR="00A826C3" w:rsidRDefault="004B2497" w:rsidP="004B2497">
      <w:pPr>
        <w:spacing w:after="107" w:line="240" w:lineRule="auto"/>
        <w:jc w:val="both"/>
        <w:rPr>
          <w:rFonts w:ascii="Garamond" w:eastAsia="Times New Roman" w:hAnsi="Garamond" w:cs="Tahoma"/>
          <w:color w:val="000000"/>
          <w:sz w:val="24"/>
          <w:szCs w:val="24"/>
          <w:lang w:eastAsia="pt-BR"/>
        </w:rPr>
      </w:pPr>
      <w:r w:rsidRPr="004B2497">
        <w:rPr>
          <w:rFonts w:ascii="Garamond" w:eastAsia="Times New Roman" w:hAnsi="Garamond" w:cs="Tahoma"/>
          <w:color w:val="000000"/>
          <w:sz w:val="24"/>
          <w:szCs w:val="24"/>
          <w:lang w:eastAsia="pt-BR"/>
        </w:rPr>
        <w:t xml:space="preserve">Vale acentuar, finalmente, no tocante à alegada violação ao princípio da isonomia, em que se fundamentou o acórdão ora recorrido, que o Ministério Público Federal, ao </w:t>
      </w:r>
      <w:r w:rsidRPr="004B2497">
        <w:rPr>
          <w:rFonts w:ascii="Garamond" w:eastAsia="Times New Roman" w:hAnsi="Garamond" w:cs="Tahoma"/>
          <w:color w:val="000000"/>
          <w:sz w:val="24"/>
          <w:szCs w:val="24"/>
          <w:lang w:eastAsia="pt-BR"/>
        </w:rPr>
        <w:lastRenderedPageBreak/>
        <w:t>opinar sobre essa questão, corretamente destacou, em seu douto parecer, da lavra do ilustre Subprocurador-Geral da República Dr. ODIM BRANDÃO FERREIRA, passagem a seguir reproduzida, que bem revela a legitimidade da pretensão recursal ora em exame:</w:t>
      </w:r>
    </w:p>
    <w:p w:rsidR="00A826C3" w:rsidRDefault="004B2497" w:rsidP="004B2497">
      <w:pPr>
        <w:spacing w:after="107" w:line="240" w:lineRule="auto"/>
        <w:jc w:val="both"/>
        <w:rPr>
          <w:rFonts w:ascii="Garamond" w:eastAsia="Times New Roman" w:hAnsi="Garamond" w:cs="Tahoma"/>
          <w:color w:val="000000"/>
          <w:sz w:val="24"/>
          <w:szCs w:val="24"/>
          <w:lang w:eastAsia="pt-BR"/>
        </w:rPr>
      </w:pPr>
      <w:r w:rsidRPr="004B2497">
        <w:rPr>
          <w:rFonts w:ascii="Garamond" w:eastAsia="Times New Roman" w:hAnsi="Garamond" w:cs="Tahoma"/>
          <w:color w:val="000000"/>
          <w:sz w:val="24"/>
          <w:szCs w:val="24"/>
          <w:lang w:eastAsia="pt-BR"/>
        </w:rPr>
        <w:t>“O argumento da isonomia não se presta ao caso por redundar em afastar, de forma completa, a eficácia e a busca da efetividade do direito previsto constitucionalmente. Como não há discricionariedade do administrador, a omissão nesses casos já não se encerra no âmbito de discricionariedade, mas passa a representar violação dos mencionados direitos subjetivos. Disso decorre a ilegitimidade do condicionamento do direito à observância de lista de excedente, que nem sequer poderia existir.” (grifei)</w:t>
      </w:r>
    </w:p>
    <w:p w:rsidR="00A826C3" w:rsidRDefault="004B2497" w:rsidP="004B2497">
      <w:pPr>
        <w:spacing w:after="107" w:line="240" w:lineRule="auto"/>
        <w:jc w:val="both"/>
        <w:rPr>
          <w:rFonts w:ascii="Garamond" w:eastAsia="Times New Roman" w:hAnsi="Garamond" w:cs="Tahoma"/>
          <w:color w:val="000000"/>
          <w:sz w:val="24"/>
          <w:szCs w:val="24"/>
          <w:lang w:eastAsia="pt-BR"/>
        </w:rPr>
      </w:pPr>
      <w:r w:rsidRPr="004B2497">
        <w:rPr>
          <w:rFonts w:ascii="Garamond" w:eastAsia="Times New Roman" w:hAnsi="Garamond" w:cs="Tahoma"/>
          <w:color w:val="000000"/>
          <w:sz w:val="24"/>
          <w:szCs w:val="24"/>
          <w:lang w:eastAsia="pt-BR"/>
        </w:rPr>
        <w:t>Sendo assim, e tendo em consideração as razões expostas, dou provimento ao presente recurso extraordinário (CPC/15, art. 932, VIII, c/c o RISTF, art. 21 § 1º), em ordem a restabelecer a sentença proferida pelo ilustre magistrado estadual de primeira instância.</w:t>
      </w:r>
    </w:p>
    <w:p w:rsidR="00A826C3" w:rsidRDefault="004B2497" w:rsidP="004B2497">
      <w:pPr>
        <w:spacing w:after="107" w:line="240" w:lineRule="auto"/>
        <w:jc w:val="both"/>
        <w:rPr>
          <w:rFonts w:ascii="Garamond" w:eastAsia="Times New Roman" w:hAnsi="Garamond" w:cs="Tahoma"/>
          <w:color w:val="000000"/>
          <w:sz w:val="24"/>
          <w:szCs w:val="24"/>
          <w:lang w:eastAsia="pt-BR"/>
        </w:rPr>
      </w:pPr>
      <w:r w:rsidRPr="004B2497">
        <w:rPr>
          <w:rFonts w:ascii="Garamond" w:eastAsia="Times New Roman" w:hAnsi="Garamond" w:cs="Tahoma"/>
          <w:color w:val="000000"/>
          <w:sz w:val="24"/>
          <w:szCs w:val="24"/>
          <w:lang w:eastAsia="pt-BR"/>
        </w:rPr>
        <w:t>Publique-se.</w:t>
      </w:r>
    </w:p>
    <w:p w:rsidR="00A826C3" w:rsidRDefault="004B2497" w:rsidP="004B2497">
      <w:pPr>
        <w:spacing w:after="107" w:line="240" w:lineRule="auto"/>
        <w:jc w:val="both"/>
        <w:rPr>
          <w:rFonts w:ascii="Garamond" w:eastAsia="Times New Roman" w:hAnsi="Garamond" w:cs="Tahoma"/>
          <w:color w:val="000000"/>
          <w:sz w:val="24"/>
          <w:szCs w:val="24"/>
          <w:lang w:eastAsia="pt-BR"/>
        </w:rPr>
      </w:pPr>
      <w:r w:rsidRPr="004B2497">
        <w:rPr>
          <w:rFonts w:ascii="Garamond" w:eastAsia="Times New Roman" w:hAnsi="Garamond" w:cs="Tahoma"/>
          <w:color w:val="000000"/>
          <w:sz w:val="24"/>
          <w:szCs w:val="24"/>
          <w:lang w:eastAsia="pt-BR"/>
        </w:rPr>
        <w:t>Brasília, 12 de maio de 2016.</w:t>
      </w:r>
    </w:p>
    <w:p w:rsidR="00A826C3" w:rsidRDefault="004B2497" w:rsidP="004B2497">
      <w:pPr>
        <w:spacing w:after="107" w:line="240" w:lineRule="auto"/>
        <w:jc w:val="both"/>
        <w:rPr>
          <w:rFonts w:ascii="Garamond" w:eastAsia="Times New Roman" w:hAnsi="Garamond" w:cs="Tahoma"/>
          <w:color w:val="000000"/>
          <w:sz w:val="24"/>
          <w:szCs w:val="24"/>
          <w:lang w:eastAsia="pt-BR"/>
        </w:rPr>
      </w:pPr>
      <w:r w:rsidRPr="004B2497">
        <w:rPr>
          <w:rFonts w:ascii="Garamond" w:eastAsia="Times New Roman" w:hAnsi="Garamond" w:cs="Tahoma"/>
          <w:color w:val="000000"/>
          <w:sz w:val="24"/>
          <w:szCs w:val="24"/>
          <w:lang w:eastAsia="pt-BR"/>
        </w:rPr>
        <w:t>Ministro CELSO DE MELLO</w:t>
      </w:r>
    </w:p>
    <w:p w:rsidR="00A826C3" w:rsidRDefault="004B2497" w:rsidP="004B2497">
      <w:pPr>
        <w:spacing w:after="107" w:line="240" w:lineRule="auto"/>
        <w:jc w:val="both"/>
        <w:rPr>
          <w:rFonts w:ascii="Garamond" w:eastAsia="Times New Roman" w:hAnsi="Garamond" w:cs="Tahoma"/>
          <w:color w:val="000000"/>
          <w:sz w:val="24"/>
          <w:szCs w:val="24"/>
          <w:lang w:eastAsia="pt-BR"/>
        </w:rPr>
      </w:pPr>
      <w:r w:rsidRPr="004B2497">
        <w:rPr>
          <w:rFonts w:ascii="Garamond" w:eastAsia="Times New Roman" w:hAnsi="Garamond" w:cs="Tahoma"/>
          <w:color w:val="000000"/>
          <w:sz w:val="24"/>
          <w:szCs w:val="24"/>
          <w:lang w:eastAsia="pt-BR"/>
        </w:rPr>
        <w:t>Relator</w:t>
      </w:r>
    </w:p>
    <w:p w:rsidR="004B2497" w:rsidRPr="004B2497" w:rsidRDefault="004B2497" w:rsidP="004B2497">
      <w:pPr>
        <w:spacing w:after="107" w:line="240" w:lineRule="auto"/>
        <w:jc w:val="both"/>
        <w:rPr>
          <w:rFonts w:ascii="Garamond" w:eastAsia="Times New Roman" w:hAnsi="Garamond" w:cs="Tahoma"/>
          <w:color w:val="000000"/>
          <w:sz w:val="24"/>
          <w:szCs w:val="24"/>
          <w:lang w:eastAsia="pt-BR"/>
        </w:rPr>
      </w:pPr>
      <w:r w:rsidRPr="004B2497">
        <w:rPr>
          <w:rFonts w:ascii="Garamond" w:eastAsia="Times New Roman" w:hAnsi="Garamond" w:cs="Tahoma"/>
          <w:color w:val="000000"/>
          <w:sz w:val="24"/>
          <w:szCs w:val="24"/>
          <w:lang w:eastAsia="pt-BR"/>
        </w:rPr>
        <w:t>*decisão publicada no DJe de 17.5.2016</w:t>
      </w:r>
    </w:p>
    <w:p w:rsidR="002A4738" w:rsidRPr="004B2497" w:rsidRDefault="002A4738" w:rsidP="004B2497">
      <w:pPr>
        <w:jc w:val="both"/>
        <w:rPr>
          <w:rFonts w:ascii="Garamond" w:hAnsi="Garamond"/>
          <w:sz w:val="24"/>
          <w:szCs w:val="24"/>
        </w:rPr>
      </w:pPr>
    </w:p>
    <w:sectPr w:rsidR="002A4738" w:rsidRPr="004B2497" w:rsidSect="002A473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5020503060202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4B2497"/>
    <w:rsid w:val="002A4738"/>
    <w:rsid w:val="003B1319"/>
    <w:rsid w:val="004B2497"/>
    <w:rsid w:val="005F491F"/>
    <w:rsid w:val="00A826C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73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0646690">
      <w:bodyDiv w:val="1"/>
      <w:marLeft w:val="0"/>
      <w:marRight w:val="0"/>
      <w:marTop w:val="0"/>
      <w:marBottom w:val="0"/>
      <w:divBdr>
        <w:top w:val="none" w:sz="0" w:space="0" w:color="auto"/>
        <w:left w:val="none" w:sz="0" w:space="0" w:color="auto"/>
        <w:bottom w:val="none" w:sz="0" w:space="0" w:color="auto"/>
        <w:right w:val="none" w:sz="0" w:space="0" w:color="auto"/>
      </w:divBdr>
      <w:divsChild>
        <w:div w:id="801656950">
          <w:marLeft w:val="0"/>
          <w:marRight w:val="0"/>
          <w:marTop w:val="0"/>
          <w:marBottom w:val="0"/>
          <w:divBdr>
            <w:top w:val="none" w:sz="0" w:space="0" w:color="auto"/>
            <w:left w:val="none" w:sz="0" w:space="0" w:color="auto"/>
            <w:bottom w:val="none" w:sz="0" w:space="0" w:color="auto"/>
            <w:right w:val="none" w:sz="0" w:space="0" w:color="auto"/>
          </w:divBdr>
          <w:divsChild>
            <w:div w:id="11079449">
              <w:marLeft w:val="0"/>
              <w:marRight w:val="0"/>
              <w:marTop w:val="0"/>
              <w:marBottom w:val="0"/>
              <w:divBdr>
                <w:top w:val="none" w:sz="0" w:space="0" w:color="auto"/>
                <w:left w:val="none" w:sz="0" w:space="0" w:color="auto"/>
                <w:bottom w:val="none" w:sz="0" w:space="0" w:color="auto"/>
                <w:right w:val="none" w:sz="0" w:space="0" w:color="auto"/>
              </w:divBdr>
              <w:divsChild>
                <w:div w:id="1393772852">
                  <w:marLeft w:val="0"/>
                  <w:marRight w:val="0"/>
                  <w:marTop w:val="0"/>
                  <w:marBottom w:val="0"/>
                  <w:divBdr>
                    <w:top w:val="none" w:sz="0" w:space="0" w:color="auto"/>
                    <w:left w:val="none" w:sz="0" w:space="0" w:color="auto"/>
                    <w:bottom w:val="none" w:sz="0" w:space="0" w:color="auto"/>
                    <w:right w:val="none" w:sz="0" w:space="0" w:color="auto"/>
                  </w:divBdr>
                  <w:divsChild>
                    <w:div w:id="1437675876">
                      <w:marLeft w:val="0"/>
                      <w:marRight w:val="0"/>
                      <w:marTop w:val="0"/>
                      <w:marBottom w:val="0"/>
                      <w:divBdr>
                        <w:top w:val="none" w:sz="0" w:space="0" w:color="auto"/>
                        <w:left w:val="none" w:sz="0" w:space="0" w:color="auto"/>
                        <w:bottom w:val="none" w:sz="0" w:space="0" w:color="auto"/>
                        <w:right w:val="none" w:sz="0" w:space="0" w:color="auto"/>
                      </w:divBdr>
                      <w:divsChild>
                        <w:div w:id="1675185880">
                          <w:marLeft w:val="0"/>
                          <w:marRight w:val="0"/>
                          <w:marTop w:val="0"/>
                          <w:marBottom w:val="0"/>
                          <w:divBdr>
                            <w:top w:val="none" w:sz="0" w:space="0" w:color="auto"/>
                            <w:left w:val="none" w:sz="0" w:space="0" w:color="auto"/>
                            <w:bottom w:val="none" w:sz="0" w:space="0" w:color="auto"/>
                            <w:right w:val="none" w:sz="0" w:space="0" w:color="auto"/>
                          </w:divBdr>
                          <w:divsChild>
                            <w:div w:id="597979617">
                              <w:marLeft w:val="0"/>
                              <w:marRight w:val="0"/>
                              <w:marTop w:val="0"/>
                              <w:marBottom w:val="0"/>
                              <w:divBdr>
                                <w:top w:val="none" w:sz="0" w:space="0" w:color="auto"/>
                                <w:left w:val="none" w:sz="0" w:space="0" w:color="auto"/>
                                <w:bottom w:val="none" w:sz="0" w:space="0" w:color="auto"/>
                                <w:right w:val="none" w:sz="0" w:space="0" w:color="auto"/>
                              </w:divBdr>
                              <w:divsChild>
                                <w:div w:id="791283944">
                                  <w:marLeft w:val="0"/>
                                  <w:marRight w:val="0"/>
                                  <w:marTop w:val="0"/>
                                  <w:marBottom w:val="0"/>
                                  <w:divBdr>
                                    <w:top w:val="none" w:sz="0" w:space="0" w:color="auto"/>
                                    <w:left w:val="none" w:sz="0" w:space="0" w:color="auto"/>
                                    <w:bottom w:val="none" w:sz="0" w:space="0" w:color="auto"/>
                                    <w:right w:val="none" w:sz="0" w:space="0" w:color="auto"/>
                                  </w:divBdr>
                                  <w:divsChild>
                                    <w:div w:id="732849741">
                                      <w:marLeft w:val="0"/>
                                      <w:marRight w:val="0"/>
                                      <w:marTop w:val="0"/>
                                      <w:marBottom w:val="0"/>
                                      <w:divBdr>
                                        <w:top w:val="none" w:sz="0" w:space="0" w:color="auto"/>
                                        <w:left w:val="none" w:sz="0" w:space="0" w:color="auto"/>
                                        <w:bottom w:val="none" w:sz="0" w:space="0" w:color="auto"/>
                                        <w:right w:val="none" w:sz="0" w:space="0" w:color="auto"/>
                                      </w:divBdr>
                                      <w:divsChild>
                                        <w:div w:id="1193880607">
                                          <w:marLeft w:val="0"/>
                                          <w:marRight w:val="0"/>
                                          <w:marTop w:val="0"/>
                                          <w:marBottom w:val="0"/>
                                          <w:divBdr>
                                            <w:top w:val="none" w:sz="0" w:space="0" w:color="auto"/>
                                            <w:left w:val="none" w:sz="0" w:space="0" w:color="auto"/>
                                            <w:bottom w:val="none" w:sz="0" w:space="0" w:color="auto"/>
                                            <w:right w:val="none" w:sz="0" w:space="0" w:color="auto"/>
                                          </w:divBdr>
                                          <w:divsChild>
                                            <w:div w:id="193462484">
                                              <w:marLeft w:val="0"/>
                                              <w:marRight w:val="0"/>
                                              <w:marTop w:val="0"/>
                                              <w:marBottom w:val="0"/>
                                              <w:divBdr>
                                                <w:top w:val="none" w:sz="0" w:space="0" w:color="auto"/>
                                                <w:left w:val="none" w:sz="0" w:space="0" w:color="auto"/>
                                                <w:bottom w:val="none" w:sz="0" w:space="0" w:color="auto"/>
                                                <w:right w:val="none" w:sz="0" w:space="0" w:color="auto"/>
                                              </w:divBdr>
                                              <w:divsChild>
                                                <w:div w:id="1119183812">
                                                  <w:marLeft w:val="0"/>
                                                  <w:marRight w:val="0"/>
                                                  <w:marTop w:val="0"/>
                                                  <w:marBottom w:val="0"/>
                                                  <w:divBdr>
                                                    <w:top w:val="none" w:sz="0" w:space="0" w:color="auto"/>
                                                    <w:left w:val="none" w:sz="0" w:space="0" w:color="auto"/>
                                                    <w:bottom w:val="none" w:sz="0" w:space="0" w:color="auto"/>
                                                    <w:right w:val="none" w:sz="0" w:space="0" w:color="auto"/>
                                                  </w:divBdr>
                                                  <w:divsChild>
                                                    <w:div w:id="1798647679">
                                                      <w:marLeft w:val="0"/>
                                                      <w:marRight w:val="0"/>
                                                      <w:marTop w:val="0"/>
                                                      <w:marBottom w:val="0"/>
                                                      <w:divBdr>
                                                        <w:top w:val="none" w:sz="0" w:space="0" w:color="auto"/>
                                                        <w:left w:val="none" w:sz="0" w:space="0" w:color="auto"/>
                                                        <w:bottom w:val="none" w:sz="0" w:space="0" w:color="auto"/>
                                                        <w:right w:val="none" w:sz="0" w:space="0" w:color="auto"/>
                                                      </w:divBdr>
                                                      <w:divsChild>
                                                        <w:div w:id="2100979572">
                                                          <w:marLeft w:val="0"/>
                                                          <w:marRight w:val="0"/>
                                                          <w:marTop w:val="0"/>
                                                          <w:marBottom w:val="0"/>
                                                          <w:divBdr>
                                                            <w:top w:val="none" w:sz="0" w:space="0" w:color="auto"/>
                                                            <w:left w:val="none" w:sz="0" w:space="0" w:color="auto"/>
                                                            <w:bottom w:val="none" w:sz="0" w:space="0" w:color="auto"/>
                                                            <w:right w:val="none" w:sz="0" w:space="0" w:color="auto"/>
                                                          </w:divBdr>
                                                          <w:divsChild>
                                                            <w:div w:id="696273965">
                                                              <w:marLeft w:val="0"/>
                                                              <w:marRight w:val="107"/>
                                                              <w:marTop w:val="0"/>
                                                              <w:marBottom w:val="107"/>
                                                              <w:divBdr>
                                                                <w:top w:val="none" w:sz="0" w:space="0" w:color="auto"/>
                                                                <w:left w:val="none" w:sz="0" w:space="0" w:color="auto"/>
                                                                <w:bottom w:val="none" w:sz="0" w:space="0" w:color="auto"/>
                                                                <w:right w:val="none" w:sz="0" w:space="0" w:color="auto"/>
                                                              </w:divBdr>
                                                              <w:divsChild>
                                                                <w:div w:id="766929868">
                                                                  <w:marLeft w:val="0"/>
                                                                  <w:marRight w:val="0"/>
                                                                  <w:marTop w:val="0"/>
                                                                  <w:marBottom w:val="0"/>
                                                                  <w:divBdr>
                                                                    <w:top w:val="none" w:sz="0" w:space="0" w:color="auto"/>
                                                                    <w:left w:val="none" w:sz="0" w:space="0" w:color="auto"/>
                                                                    <w:bottom w:val="none" w:sz="0" w:space="0" w:color="auto"/>
                                                                    <w:right w:val="none" w:sz="0" w:space="0" w:color="auto"/>
                                                                  </w:divBdr>
                                                                  <w:divsChild>
                                                                    <w:div w:id="1623539657">
                                                                      <w:marLeft w:val="0"/>
                                                                      <w:marRight w:val="0"/>
                                                                      <w:marTop w:val="0"/>
                                                                      <w:marBottom w:val="0"/>
                                                                      <w:divBdr>
                                                                        <w:top w:val="none" w:sz="0" w:space="0" w:color="auto"/>
                                                                        <w:left w:val="none" w:sz="0" w:space="0" w:color="auto"/>
                                                                        <w:bottom w:val="none" w:sz="0" w:space="0" w:color="auto"/>
                                                                        <w:right w:val="none" w:sz="0" w:space="0" w:color="auto"/>
                                                                      </w:divBdr>
                                                                      <w:divsChild>
                                                                        <w:div w:id="861866040">
                                                                          <w:marLeft w:val="0"/>
                                                                          <w:marRight w:val="0"/>
                                                                          <w:marTop w:val="0"/>
                                                                          <w:marBottom w:val="0"/>
                                                                          <w:divBdr>
                                                                            <w:top w:val="none" w:sz="0" w:space="0" w:color="auto"/>
                                                                            <w:left w:val="none" w:sz="0" w:space="0" w:color="auto"/>
                                                                            <w:bottom w:val="none" w:sz="0" w:space="0" w:color="auto"/>
                                                                            <w:right w:val="none" w:sz="0" w:space="0" w:color="auto"/>
                                                                          </w:divBdr>
                                                                          <w:divsChild>
                                                                            <w:div w:id="1434133501">
                                                                              <w:marLeft w:val="0"/>
                                                                              <w:marRight w:val="0"/>
                                                                              <w:marTop w:val="0"/>
                                                                              <w:marBottom w:val="0"/>
                                                                              <w:divBdr>
                                                                                <w:top w:val="none" w:sz="0" w:space="0" w:color="auto"/>
                                                                                <w:left w:val="none" w:sz="0" w:space="0" w:color="auto"/>
                                                                                <w:bottom w:val="none" w:sz="0" w:space="0" w:color="auto"/>
                                                                                <w:right w:val="none" w:sz="0" w:space="0" w:color="auto"/>
                                                                              </w:divBdr>
                                                                              <w:divsChild>
                                                                                <w:div w:id="74477471">
                                                                                  <w:marLeft w:val="0"/>
                                                                                  <w:marRight w:val="0"/>
                                                                                  <w:marTop w:val="0"/>
                                                                                  <w:marBottom w:val="0"/>
                                                                                  <w:divBdr>
                                                                                    <w:top w:val="none" w:sz="0" w:space="0" w:color="auto"/>
                                                                                    <w:left w:val="none" w:sz="0" w:space="0" w:color="auto"/>
                                                                                    <w:bottom w:val="none" w:sz="0" w:space="0" w:color="auto"/>
                                                                                    <w:right w:val="none" w:sz="0" w:space="0" w:color="auto"/>
                                                                                  </w:divBdr>
                                                                                  <w:divsChild>
                                                                                    <w:div w:id="674262180">
                                                                                      <w:marLeft w:val="0"/>
                                                                                      <w:marRight w:val="0"/>
                                                                                      <w:marTop w:val="0"/>
                                                                                      <w:marBottom w:val="0"/>
                                                                                      <w:divBdr>
                                                                                        <w:top w:val="none" w:sz="0" w:space="0" w:color="auto"/>
                                                                                        <w:left w:val="none" w:sz="0" w:space="0" w:color="auto"/>
                                                                                        <w:bottom w:val="none" w:sz="0" w:space="0" w:color="auto"/>
                                                                                        <w:right w:val="none" w:sz="0" w:space="0" w:color="auto"/>
                                                                                      </w:divBdr>
                                                                                      <w:divsChild>
                                                                                        <w:div w:id="93131507">
                                                                                          <w:marLeft w:val="0"/>
                                                                                          <w:marRight w:val="0"/>
                                                                                          <w:marTop w:val="0"/>
                                                                                          <w:marBottom w:val="0"/>
                                                                                          <w:divBdr>
                                                                                            <w:top w:val="none" w:sz="0" w:space="0" w:color="auto"/>
                                                                                            <w:left w:val="none" w:sz="0" w:space="0" w:color="auto"/>
                                                                                            <w:bottom w:val="none" w:sz="0" w:space="0" w:color="auto"/>
                                                                                            <w:right w:val="none" w:sz="0" w:space="0" w:color="auto"/>
                                                                                          </w:divBdr>
                                                                                        </w:div>
                                                                                        <w:div w:id="25686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4345</Words>
  <Characters>23463</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ana.werneck</dc:creator>
  <cp:lastModifiedBy>helbert.silva</cp:lastModifiedBy>
  <cp:revision>2</cp:revision>
  <dcterms:created xsi:type="dcterms:W3CDTF">2016-06-14T13:39:00Z</dcterms:created>
  <dcterms:modified xsi:type="dcterms:W3CDTF">2016-06-14T13:39:00Z</dcterms:modified>
</cp:coreProperties>
</file>